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8544E" w14:textId="246589B3" w:rsidR="0025250E" w:rsidRPr="00DA12F7" w:rsidRDefault="0025250E" w:rsidP="0025250E">
      <w:pPr>
        <w:tabs>
          <w:tab w:val="right" w:pos="9630"/>
        </w:tabs>
        <w:spacing w:after="0"/>
      </w:pPr>
      <w:r w:rsidRPr="00DA12F7">
        <w:rPr>
          <w:rFonts w:ascii="Arial" w:hAnsi="Arial" w:cs="Arial"/>
          <w:b/>
          <w:sz w:val="24"/>
        </w:rPr>
        <w:t xml:space="preserve">3GPP TSG RAN WG1 </w:t>
      </w:r>
      <w:r>
        <w:rPr>
          <w:rFonts w:ascii="Arial" w:hAnsi="Arial" w:cs="Arial"/>
          <w:b/>
          <w:sz w:val="24"/>
        </w:rPr>
        <w:t>NR AdHoc#3</w:t>
      </w:r>
      <w:r w:rsidRPr="00DA12F7">
        <w:rPr>
          <w:rFonts w:ascii="Arial" w:hAnsi="Arial" w:cs="Arial"/>
          <w:b/>
          <w:sz w:val="24"/>
        </w:rPr>
        <w:tab/>
        <w:t>R1-</w:t>
      </w:r>
      <w:r>
        <w:rPr>
          <w:rFonts w:ascii="Arial" w:hAnsi="Arial" w:cs="Arial"/>
          <w:b/>
          <w:sz w:val="24"/>
        </w:rPr>
        <w:t>171</w:t>
      </w:r>
      <w:r w:rsidR="00503619">
        <w:rPr>
          <w:rFonts w:ascii="Arial" w:hAnsi="Arial" w:cs="Arial"/>
          <w:b/>
          <w:sz w:val="24"/>
        </w:rPr>
        <w:t>6415</w:t>
      </w:r>
    </w:p>
    <w:p w14:paraId="16E71A17" w14:textId="19366D87" w:rsidR="0025250E" w:rsidRPr="00DA12F7" w:rsidRDefault="0025250E" w:rsidP="0025250E">
      <w:pPr>
        <w:tabs>
          <w:tab w:val="right" w:pos="9630"/>
        </w:tabs>
        <w:spacing w:after="0"/>
        <w:rPr>
          <w:rFonts w:ascii="Arial" w:hAnsi="Arial" w:cs="Arial"/>
          <w:b/>
          <w:sz w:val="24"/>
          <w:szCs w:val="24"/>
        </w:rPr>
      </w:pPr>
      <w:r>
        <w:rPr>
          <w:rFonts w:ascii="Arial" w:hAnsi="Arial" w:cs="Arial"/>
          <w:b/>
          <w:sz w:val="24"/>
          <w:szCs w:val="24"/>
        </w:rPr>
        <w:t>Nagoya, Japan, September 18</w:t>
      </w:r>
      <w:r w:rsidRPr="00116328">
        <w:rPr>
          <w:rFonts w:ascii="Arial" w:hAnsi="Arial" w:cs="Arial"/>
          <w:b/>
          <w:sz w:val="24"/>
          <w:szCs w:val="24"/>
          <w:vertAlign w:val="superscript"/>
        </w:rPr>
        <w:t>t</w:t>
      </w:r>
      <w:r w:rsidR="005C3DB7">
        <w:rPr>
          <w:rFonts w:ascii="Arial" w:hAnsi="Arial" w:cs="Arial"/>
          <w:b/>
          <w:sz w:val="24"/>
          <w:szCs w:val="24"/>
          <w:vertAlign w:val="superscript"/>
        </w:rPr>
        <w:t>h</w:t>
      </w:r>
      <w:r>
        <w:rPr>
          <w:rFonts w:ascii="Arial" w:hAnsi="Arial" w:cs="Arial"/>
          <w:b/>
          <w:sz w:val="24"/>
          <w:szCs w:val="24"/>
        </w:rPr>
        <w:t xml:space="preserve"> – 21</w:t>
      </w:r>
      <w:r>
        <w:rPr>
          <w:rFonts w:ascii="Arial" w:hAnsi="Arial" w:cs="Arial"/>
          <w:b/>
          <w:sz w:val="24"/>
          <w:szCs w:val="24"/>
          <w:vertAlign w:val="superscript"/>
        </w:rPr>
        <w:t>st</w:t>
      </w:r>
      <w:r w:rsidRPr="00DA12F7">
        <w:rPr>
          <w:rFonts w:ascii="Arial" w:hAnsi="Arial" w:cs="Arial"/>
          <w:b/>
          <w:sz w:val="24"/>
          <w:szCs w:val="24"/>
        </w:rPr>
        <w:t xml:space="preserve"> 201</w:t>
      </w:r>
      <w:r>
        <w:rPr>
          <w:rFonts w:ascii="Arial" w:hAnsi="Arial" w:cs="Arial"/>
          <w:b/>
          <w:sz w:val="24"/>
          <w:szCs w:val="24"/>
        </w:rPr>
        <w:t>7</w:t>
      </w:r>
    </w:p>
    <w:p w14:paraId="43B7F87B" w14:textId="77777777" w:rsidR="0068226B" w:rsidRPr="00DD02F5" w:rsidRDefault="0068226B" w:rsidP="00480B03">
      <w:pPr>
        <w:pStyle w:val="Footer"/>
        <w:jc w:val="both"/>
        <w:rPr>
          <w:noProof w:val="0"/>
        </w:rPr>
      </w:pPr>
    </w:p>
    <w:p w14:paraId="43B7F87C" w14:textId="62FA6C0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16328">
        <w:rPr>
          <w:rFonts w:ascii="Arial" w:hAnsi="Arial"/>
          <w:sz w:val="24"/>
        </w:rPr>
        <w:t>6</w:t>
      </w:r>
      <w:r w:rsidR="00672B89">
        <w:rPr>
          <w:rFonts w:ascii="Arial" w:hAnsi="Arial"/>
          <w:sz w:val="24"/>
        </w:rPr>
        <w:t>.3.</w:t>
      </w:r>
      <w:r w:rsidR="0025250E">
        <w:rPr>
          <w:rFonts w:ascii="Arial" w:hAnsi="Arial"/>
          <w:sz w:val="24"/>
        </w:rPr>
        <w:t>1.</w:t>
      </w:r>
      <w:r w:rsidR="004A1656">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0A981F8"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423F3">
        <w:rPr>
          <w:rFonts w:ascii="Arial" w:hAnsi="Arial"/>
          <w:sz w:val="24"/>
          <w:szCs w:val="24"/>
        </w:rPr>
        <w:t>Resource reuse for data in DL control region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A3929EC" w14:textId="3CA08430" w:rsidR="00BD670F" w:rsidRDefault="00BD670F" w:rsidP="00BD670F">
      <w:pPr>
        <w:jc w:val="both"/>
        <w:rPr>
          <w:szCs w:val="22"/>
        </w:rPr>
      </w:pPr>
      <w:r>
        <w:rPr>
          <w:szCs w:val="22"/>
        </w:rPr>
        <w:t>During RAN1</w:t>
      </w:r>
      <w:r w:rsidR="00D608B9">
        <w:rPr>
          <w:szCs w:val="22"/>
        </w:rPr>
        <w:t>#90,</w:t>
      </w:r>
      <w:r>
        <w:rPr>
          <w:szCs w:val="22"/>
        </w:rPr>
        <w:t xml:space="preserve"> the following agreements were made related to NR DL control channel </w:t>
      </w:r>
      <w:r w:rsidR="002372EC">
        <w:rPr>
          <w:szCs w:val="22"/>
        </w:rPr>
        <w:t>resource reuse for data</w:t>
      </w:r>
      <w:r w:rsidR="008D2DE5">
        <w:rPr>
          <w:szCs w:val="22"/>
        </w:rPr>
        <w:t>.</w:t>
      </w:r>
    </w:p>
    <w:p w14:paraId="1A63F128" w14:textId="77777777" w:rsidR="00D608B9" w:rsidRPr="001E2B47" w:rsidRDefault="00D608B9" w:rsidP="00D608B9">
      <w:pPr>
        <w:rPr>
          <w:rFonts w:eastAsia="MS Mincho"/>
          <w:b/>
          <w:u w:val="single"/>
          <w:lang w:eastAsia="ja-JP"/>
        </w:rPr>
      </w:pPr>
      <w:r w:rsidRPr="00FB0904">
        <w:rPr>
          <w:rFonts w:eastAsia="MS Mincho" w:hint="eastAsia"/>
          <w:b/>
          <w:highlight w:val="green"/>
          <w:u w:val="single"/>
          <w:lang w:eastAsia="ja-JP"/>
        </w:rPr>
        <w:t>Agreements</w:t>
      </w:r>
      <w:r w:rsidRPr="00FB0904">
        <w:rPr>
          <w:rFonts w:eastAsia="MS Mincho"/>
          <w:b/>
          <w:highlight w:val="green"/>
          <w:u w:val="single"/>
          <w:lang w:eastAsia="ja-JP"/>
        </w:rPr>
        <w:t>:</w:t>
      </w:r>
    </w:p>
    <w:p w14:paraId="072758C9" w14:textId="77777777" w:rsidR="00D608B9" w:rsidRPr="003A4AB5" w:rsidRDefault="00D608B9" w:rsidP="00D608B9">
      <w:pPr>
        <w:numPr>
          <w:ilvl w:val="0"/>
          <w:numId w:val="14"/>
        </w:numPr>
        <w:tabs>
          <w:tab w:val="left" w:pos="1440"/>
        </w:tabs>
        <w:overflowPunct/>
        <w:autoSpaceDE/>
        <w:autoSpaceDN/>
        <w:adjustRightInd/>
        <w:spacing w:after="0"/>
        <w:textAlignment w:val="auto"/>
        <w:rPr>
          <w:rFonts w:eastAsia="MS Mincho"/>
          <w:lang w:eastAsia="ja-JP"/>
        </w:rPr>
      </w:pPr>
      <w:r w:rsidRPr="003A4AB5">
        <w:rPr>
          <w:rFonts w:eastAsia="MS Mincho"/>
          <w:lang w:eastAsia="ja-JP"/>
        </w:rPr>
        <w:t xml:space="preserve">A UE can be configured by RRC signaling with </w:t>
      </w:r>
      <w:r>
        <w:rPr>
          <w:rFonts w:eastAsia="MS Mincho" w:hint="eastAsia"/>
          <w:lang w:eastAsia="ja-JP"/>
        </w:rPr>
        <w:t xml:space="preserve">one or more </w:t>
      </w:r>
      <w:r w:rsidRPr="003A4AB5">
        <w:rPr>
          <w:rFonts w:eastAsia="MS Mincho"/>
          <w:lang w:eastAsia="ja-JP"/>
        </w:rPr>
        <w:t>r</w:t>
      </w:r>
      <w:r>
        <w:rPr>
          <w:rFonts w:eastAsia="MS Mincho"/>
          <w:lang w:eastAsia="ja-JP"/>
        </w:rPr>
        <w:t>esource set</w:t>
      </w:r>
      <w:r>
        <w:rPr>
          <w:rFonts w:eastAsia="MS Mincho" w:hint="eastAsia"/>
          <w:lang w:eastAsia="ja-JP"/>
        </w:rPr>
        <w:t>(s)</w:t>
      </w:r>
    </w:p>
    <w:p w14:paraId="0B85D4EA" w14:textId="77777777" w:rsidR="00D608B9" w:rsidRPr="003A4AB5" w:rsidRDefault="00D608B9" w:rsidP="00D608B9">
      <w:pPr>
        <w:numPr>
          <w:ilvl w:val="1"/>
          <w:numId w:val="14"/>
        </w:numPr>
        <w:tabs>
          <w:tab w:val="left" w:pos="1440"/>
        </w:tabs>
        <w:overflowPunct/>
        <w:autoSpaceDE/>
        <w:autoSpaceDN/>
        <w:adjustRightInd/>
        <w:spacing w:after="0"/>
        <w:textAlignment w:val="auto"/>
        <w:rPr>
          <w:rFonts w:eastAsia="MS Mincho"/>
          <w:lang w:eastAsia="ja-JP"/>
        </w:rPr>
      </w:pPr>
      <w:r w:rsidRPr="003A4AB5">
        <w:rPr>
          <w:rFonts w:eastAsia="MS Mincho"/>
          <w:lang w:eastAsia="ja-JP"/>
        </w:rPr>
        <w:t xml:space="preserve">The UE shall assume that the scheduled PDSCH is rate-matched around the resource set(s) when the scheduled PDSCH overlaps </w:t>
      </w:r>
    </w:p>
    <w:p w14:paraId="2845C9D6" w14:textId="77777777" w:rsidR="00D608B9" w:rsidRPr="003A4AB5" w:rsidRDefault="00D608B9" w:rsidP="00D608B9">
      <w:pPr>
        <w:numPr>
          <w:ilvl w:val="1"/>
          <w:numId w:val="14"/>
        </w:numPr>
        <w:tabs>
          <w:tab w:val="left" w:pos="1440"/>
        </w:tabs>
        <w:overflowPunct/>
        <w:autoSpaceDE/>
        <w:autoSpaceDN/>
        <w:adjustRightInd/>
        <w:spacing w:after="0"/>
        <w:textAlignment w:val="auto"/>
        <w:rPr>
          <w:rFonts w:eastAsia="MS Mincho"/>
          <w:lang w:eastAsia="ja-JP"/>
        </w:rPr>
      </w:pPr>
      <w:r w:rsidRPr="003A4AB5">
        <w:rPr>
          <w:rFonts w:eastAsia="MS Mincho"/>
          <w:lang w:eastAsia="ja-JP"/>
        </w:rPr>
        <w:t>FFS: exact configuration of a resource set including granularity.</w:t>
      </w:r>
    </w:p>
    <w:p w14:paraId="3B19F444" w14:textId="77777777" w:rsidR="00D608B9" w:rsidRPr="003A4AB5" w:rsidRDefault="00D608B9" w:rsidP="00D608B9">
      <w:pPr>
        <w:rPr>
          <w:rFonts w:eastAsia="MS Mincho"/>
          <w:b/>
          <w:u w:val="single"/>
          <w:lang w:eastAsia="ja-JP"/>
        </w:rPr>
      </w:pPr>
      <w:r w:rsidRPr="000662F8">
        <w:rPr>
          <w:rFonts w:eastAsia="MS Mincho" w:hint="eastAsia"/>
          <w:b/>
          <w:highlight w:val="green"/>
          <w:u w:val="single"/>
          <w:lang w:eastAsia="ja-JP"/>
        </w:rPr>
        <w:t>Agreements</w:t>
      </w:r>
      <w:r w:rsidRPr="000662F8">
        <w:rPr>
          <w:rFonts w:eastAsia="MS Mincho"/>
          <w:b/>
          <w:highlight w:val="green"/>
          <w:u w:val="single"/>
          <w:lang w:eastAsia="ja-JP"/>
        </w:rPr>
        <w:t>:</w:t>
      </w:r>
    </w:p>
    <w:p w14:paraId="6DBCA9AB" w14:textId="77777777" w:rsidR="00D608B9" w:rsidRPr="003A4AB5" w:rsidRDefault="00D608B9" w:rsidP="00D608B9">
      <w:pPr>
        <w:numPr>
          <w:ilvl w:val="0"/>
          <w:numId w:val="14"/>
        </w:numPr>
        <w:tabs>
          <w:tab w:val="left" w:pos="1440"/>
        </w:tabs>
        <w:overflowPunct/>
        <w:autoSpaceDE/>
        <w:autoSpaceDN/>
        <w:adjustRightInd/>
        <w:spacing w:after="0"/>
        <w:textAlignment w:val="auto"/>
        <w:rPr>
          <w:rFonts w:eastAsia="MS Mincho"/>
          <w:lang w:eastAsia="ja-JP"/>
        </w:rPr>
      </w:pPr>
      <w:r w:rsidRPr="003A4AB5">
        <w:rPr>
          <w:rFonts w:eastAsia="MS Mincho"/>
          <w:lang w:eastAsia="ja-JP"/>
        </w:rPr>
        <w:t>A UE can be configured by UE-specific RRC signaling to identify resource set(s) for which the PDSCH may or may not be mapped based on the L1 signaling.</w:t>
      </w:r>
    </w:p>
    <w:p w14:paraId="79C60492" w14:textId="77777777" w:rsidR="00D608B9" w:rsidRPr="003A4AB5" w:rsidRDefault="00D608B9" w:rsidP="00D608B9">
      <w:pPr>
        <w:numPr>
          <w:ilvl w:val="1"/>
          <w:numId w:val="14"/>
        </w:numPr>
        <w:tabs>
          <w:tab w:val="left" w:pos="1440"/>
        </w:tabs>
        <w:overflowPunct/>
        <w:autoSpaceDE/>
        <w:autoSpaceDN/>
        <w:adjustRightInd/>
        <w:spacing w:after="0"/>
        <w:textAlignment w:val="auto"/>
        <w:rPr>
          <w:rFonts w:eastAsia="MS Mincho"/>
          <w:lang w:eastAsia="ja-JP"/>
        </w:rPr>
      </w:pPr>
      <w:r w:rsidRPr="003A4AB5">
        <w:rPr>
          <w:rFonts w:eastAsia="MS Mincho" w:hint="eastAsia"/>
          <w:lang w:eastAsia="ja-JP"/>
        </w:rPr>
        <w:t>For a scheduled PDSCH overlapping with given resource set</w:t>
      </w:r>
      <w:r w:rsidRPr="003A4AB5">
        <w:rPr>
          <w:rFonts w:eastAsia="MS Mincho"/>
          <w:lang w:eastAsia="ja-JP"/>
        </w:rPr>
        <w:t>(s)</w:t>
      </w:r>
      <w:r w:rsidRPr="003A4AB5">
        <w:rPr>
          <w:rFonts w:eastAsia="MS Mincho" w:hint="eastAsia"/>
          <w:lang w:eastAsia="ja-JP"/>
        </w:rPr>
        <w:t>,</w:t>
      </w:r>
      <w:r w:rsidRPr="003A4AB5">
        <w:rPr>
          <w:rFonts w:eastAsia="MS Mincho"/>
          <w:lang w:eastAsia="ja-JP"/>
        </w:rPr>
        <w:t xml:space="preserve"> L1 signalling indicates whether the scheduled PDSCH is rate-matched around the resource set(s) or is mapped to the resources in the resource set(s).</w:t>
      </w:r>
    </w:p>
    <w:p w14:paraId="3CAA5431" w14:textId="77777777" w:rsidR="00D608B9" w:rsidRPr="003A4AB5" w:rsidRDefault="00D608B9" w:rsidP="00D608B9">
      <w:pPr>
        <w:numPr>
          <w:ilvl w:val="1"/>
          <w:numId w:val="14"/>
        </w:numPr>
        <w:tabs>
          <w:tab w:val="left" w:pos="1440"/>
        </w:tabs>
        <w:overflowPunct/>
        <w:autoSpaceDE/>
        <w:autoSpaceDN/>
        <w:adjustRightInd/>
        <w:spacing w:after="0"/>
        <w:textAlignment w:val="auto"/>
        <w:rPr>
          <w:rFonts w:eastAsia="MS Mincho"/>
          <w:lang w:eastAsia="ja-JP"/>
        </w:rPr>
      </w:pPr>
      <w:r w:rsidRPr="003A4AB5">
        <w:rPr>
          <w:rFonts w:eastAsia="MS Mincho"/>
          <w:lang w:eastAsia="ja-JP"/>
        </w:rPr>
        <w:t xml:space="preserve">FFS: details of the L1 signaling </w:t>
      </w:r>
    </w:p>
    <w:p w14:paraId="6D6CBF14" w14:textId="77777777" w:rsidR="00D608B9" w:rsidRPr="003A4AB5" w:rsidRDefault="00D608B9" w:rsidP="00D608B9">
      <w:pPr>
        <w:numPr>
          <w:ilvl w:val="1"/>
          <w:numId w:val="14"/>
        </w:numPr>
        <w:tabs>
          <w:tab w:val="left" w:pos="1440"/>
        </w:tabs>
        <w:overflowPunct/>
        <w:autoSpaceDE/>
        <w:autoSpaceDN/>
        <w:adjustRightInd/>
        <w:spacing w:after="0"/>
        <w:textAlignment w:val="auto"/>
        <w:rPr>
          <w:rFonts w:eastAsia="MS Mincho"/>
          <w:lang w:eastAsia="ja-JP"/>
        </w:rPr>
      </w:pPr>
      <w:r w:rsidRPr="003A4AB5">
        <w:rPr>
          <w:rFonts w:eastAsia="MS Mincho"/>
          <w:lang w:eastAsia="ja-JP"/>
        </w:rPr>
        <w:t>FFS: exact configuration of a resource set incl</w:t>
      </w:r>
      <w:r>
        <w:rPr>
          <w:rFonts w:eastAsia="MS Mincho"/>
          <w:lang w:eastAsia="ja-JP"/>
        </w:rPr>
        <w:t>uding granularity</w:t>
      </w:r>
    </w:p>
    <w:p w14:paraId="2A77FD04" w14:textId="77777777" w:rsidR="00D608B9" w:rsidRPr="008418BF" w:rsidRDefault="00D608B9" w:rsidP="00D608B9">
      <w:pPr>
        <w:rPr>
          <w:rFonts w:eastAsia="MS Mincho"/>
          <w:b/>
          <w:u w:val="single"/>
          <w:lang w:eastAsia="ja-JP"/>
        </w:rPr>
      </w:pPr>
      <w:r w:rsidRPr="00CB64F1">
        <w:rPr>
          <w:rFonts w:eastAsia="MS Mincho" w:hint="eastAsia"/>
          <w:b/>
          <w:highlight w:val="green"/>
          <w:u w:val="single"/>
          <w:lang w:eastAsia="ja-JP"/>
        </w:rPr>
        <w:t>Agreements:</w:t>
      </w:r>
    </w:p>
    <w:p w14:paraId="58324118" w14:textId="77777777" w:rsidR="00D608B9" w:rsidRPr="008418BF" w:rsidRDefault="00D608B9" w:rsidP="00D608B9">
      <w:pPr>
        <w:numPr>
          <w:ilvl w:val="0"/>
          <w:numId w:val="14"/>
        </w:numPr>
        <w:tabs>
          <w:tab w:val="left" w:pos="1440"/>
        </w:tabs>
        <w:overflowPunct/>
        <w:autoSpaceDE/>
        <w:autoSpaceDN/>
        <w:adjustRightInd/>
        <w:spacing w:after="0"/>
        <w:textAlignment w:val="auto"/>
        <w:rPr>
          <w:rFonts w:eastAsia="MS Mincho"/>
          <w:lang w:eastAsia="ja-JP"/>
        </w:rPr>
      </w:pPr>
      <w:r w:rsidRPr="00D608B9">
        <w:rPr>
          <w:rFonts w:eastAsia="MS Mincho"/>
          <w:lang w:eastAsia="ja-JP"/>
        </w:rPr>
        <w:t>At least the following is supported</w:t>
      </w:r>
    </w:p>
    <w:p w14:paraId="1AF809DE" w14:textId="77777777" w:rsidR="00D608B9" w:rsidRPr="008418BF" w:rsidRDefault="00D608B9" w:rsidP="00D608B9">
      <w:pPr>
        <w:numPr>
          <w:ilvl w:val="1"/>
          <w:numId w:val="14"/>
        </w:numPr>
        <w:tabs>
          <w:tab w:val="left" w:pos="1440"/>
        </w:tabs>
        <w:overflowPunct/>
        <w:autoSpaceDE/>
        <w:autoSpaceDN/>
        <w:adjustRightInd/>
        <w:spacing w:after="0"/>
        <w:textAlignment w:val="auto"/>
        <w:rPr>
          <w:rFonts w:eastAsia="MS Mincho"/>
          <w:lang w:eastAsia="ja-JP"/>
        </w:rPr>
      </w:pPr>
      <w:r w:rsidRPr="00D608B9">
        <w:rPr>
          <w:rFonts w:eastAsia="MS Mincho"/>
          <w:lang w:eastAsia="ja-JP"/>
        </w:rPr>
        <w:t>When the scheduled PDSCH overlaps with the PDCCH scheduling the PDSCH, the UE shall assume that the scheduled PDSCH is rate-matched around the PDCCH scheduling the PDSCH</w:t>
      </w:r>
    </w:p>
    <w:p w14:paraId="389F3C73" w14:textId="77777777" w:rsidR="00D608B9" w:rsidRPr="008418BF" w:rsidRDefault="00D608B9" w:rsidP="00F9303A">
      <w:pPr>
        <w:numPr>
          <w:ilvl w:val="2"/>
          <w:numId w:val="14"/>
        </w:numPr>
        <w:tabs>
          <w:tab w:val="left" w:pos="1440"/>
        </w:tabs>
        <w:overflowPunct/>
        <w:autoSpaceDE/>
        <w:autoSpaceDN/>
        <w:adjustRightInd/>
        <w:spacing w:after="120"/>
        <w:textAlignment w:val="auto"/>
        <w:rPr>
          <w:rFonts w:eastAsia="MS Mincho"/>
          <w:lang w:eastAsia="ja-JP"/>
        </w:rPr>
      </w:pPr>
      <w:r w:rsidRPr="00D608B9">
        <w:rPr>
          <w:rFonts w:eastAsia="MS Mincho"/>
          <w:lang w:eastAsia="ja-JP"/>
        </w:rPr>
        <w:t>Other forms of resource sharing between PDCCH and PDSCH are not precluded</w:t>
      </w:r>
    </w:p>
    <w:p w14:paraId="2BB8475F" w14:textId="15AD4207" w:rsidR="008A5AB1" w:rsidRDefault="00273784" w:rsidP="004503F9">
      <w:pPr>
        <w:jc w:val="both"/>
        <w:rPr>
          <w:szCs w:val="22"/>
        </w:rPr>
      </w:pPr>
      <w:r>
        <w:rPr>
          <w:szCs w:val="22"/>
        </w:rPr>
        <w:t>The framework for resource reuse for data was agreed with semi-static way and combined semi-static/dynamic way. In addition</w:t>
      </w:r>
      <w:r w:rsidR="00434C5F">
        <w:rPr>
          <w:szCs w:val="22"/>
        </w:rPr>
        <w:t>, the basic rate matching rule with the PDCCH scheduling the PDSCH was also agreed. This contribution discusses the remaining details on top of the current agreement.</w:t>
      </w:r>
    </w:p>
    <w:p w14:paraId="32CABF7D" w14:textId="024452C0" w:rsidR="00D14D6C" w:rsidRDefault="00D14D6C" w:rsidP="004503F9">
      <w:pPr>
        <w:jc w:val="both"/>
        <w:rPr>
          <w:szCs w:val="22"/>
        </w:rPr>
      </w:pPr>
      <w:r>
        <w:rPr>
          <w:szCs w:val="22"/>
        </w:rPr>
        <w:t>This is a revision from R1-1713421.</w:t>
      </w:r>
    </w:p>
    <w:p w14:paraId="1EBA0A55" w14:textId="73EEC4D7" w:rsidR="00412E73" w:rsidRDefault="00A42BA3" w:rsidP="00A42BA3">
      <w:pPr>
        <w:pStyle w:val="Heading1"/>
      </w:pPr>
      <w:r>
        <w:t>Reuse resource set granularity</w:t>
      </w:r>
    </w:p>
    <w:p w14:paraId="106B3A7C" w14:textId="37504D80" w:rsidR="008B4714" w:rsidRDefault="008B4714" w:rsidP="002C76DE">
      <w:r>
        <w:t xml:space="preserve">For resource reuse of DL control region for data, it will be assumed that the channel will be based on DM-RS in data region and not </w:t>
      </w:r>
      <w:r w:rsidR="003B56D1">
        <w:t xml:space="preserve">the </w:t>
      </w:r>
      <w:r>
        <w:t>control RS in DL control region.</w:t>
      </w:r>
    </w:p>
    <w:p w14:paraId="7266A6FA" w14:textId="0D82BED6" w:rsidR="0085236B" w:rsidRDefault="0085236B" w:rsidP="002C76DE">
      <w:r>
        <w:t>The following pattern of reused REs were discussed in [1]. G</w:t>
      </w:r>
      <w:r w:rsidR="00300088">
        <w:t>iven the difficulty of buffering the data if we have indepen</w:t>
      </w:r>
      <w:r w:rsidR="00EC537B">
        <w:t>den</w:t>
      </w:r>
      <w:r w:rsidR="00300088">
        <w:t>t allocation from PDSCH allocation, it is proposed to allow time-domain expansion w.r.t. the allocated PDSCH in the data region.</w:t>
      </w:r>
    </w:p>
    <w:p w14:paraId="1A75902E" w14:textId="2B28EE68" w:rsidR="008457A8" w:rsidRPr="008457A8" w:rsidRDefault="008457A8" w:rsidP="002C76DE">
      <w:pPr>
        <w:rPr>
          <w:u w:val="single"/>
        </w:rPr>
      </w:pPr>
      <w:r w:rsidRPr="008457A8">
        <w:rPr>
          <w:u w:val="single"/>
        </w:rPr>
        <w:t>Shape of reused REs</w:t>
      </w:r>
    </w:p>
    <w:p w14:paraId="33878CE1" w14:textId="77777777" w:rsidR="00F0674D" w:rsidRPr="008457A8" w:rsidRDefault="00C71BCF" w:rsidP="008457A8">
      <w:pPr>
        <w:numPr>
          <w:ilvl w:val="0"/>
          <w:numId w:val="9"/>
        </w:numPr>
      </w:pPr>
      <w:r w:rsidRPr="008457A8">
        <w:t>Time-domain only expansion w.r.t. the allocated PDSCH</w:t>
      </w:r>
    </w:p>
    <w:p w14:paraId="72347358" w14:textId="77777777" w:rsidR="00F0674D" w:rsidRPr="008457A8" w:rsidRDefault="00C71BCF" w:rsidP="008457A8">
      <w:pPr>
        <w:numPr>
          <w:ilvl w:val="2"/>
          <w:numId w:val="9"/>
        </w:numPr>
      </w:pPr>
      <w:r w:rsidRPr="008457A8">
        <w:t>UE just needs to know the starting symbol of PDSCH</w:t>
      </w:r>
    </w:p>
    <w:p w14:paraId="6139FCDD" w14:textId="77777777" w:rsidR="00F0674D" w:rsidRPr="008457A8" w:rsidRDefault="00C71BCF" w:rsidP="008457A8">
      <w:pPr>
        <w:numPr>
          <w:ilvl w:val="0"/>
          <w:numId w:val="10"/>
        </w:numPr>
      </w:pPr>
      <w:r w:rsidRPr="008457A8">
        <w:t>Time-domain/frequency-domain expansion independent of the allocated PDSCH in data region</w:t>
      </w:r>
    </w:p>
    <w:p w14:paraId="08A69AE8" w14:textId="77777777" w:rsidR="00F0674D" w:rsidRPr="008457A8" w:rsidRDefault="00C71BCF" w:rsidP="008457A8">
      <w:pPr>
        <w:numPr>
          <w:ilvl w:val="2"/>
          <w:numId w:val="10"/>
        </w:numPr>
      </w:pPr>
      <w:r w:rsidRPr="008457A8">
        <w:t>This implies independent resource allocation for DL control region from the data region</w:t>
      </w:r>
    </w:p>
    <w:p w14:paraId="7A9169FB" w14:textId="63FA440D" w:rsidR="00F0674D" w:rsidRPr="008457A8" w:rsidRDefault="00C71BCF" w:rsidP="008457A8">
      <w:pPr>
        <w:numPr>
          <w:ilvl w:val="2"/>
          <w:numId w:val="10"/>
        </w:numPr>
      </w:pPr>
      <w:r w:rsidRPr="008457A8">
        <w:lastRenderedPageBreak/>
        <w:t>UE needs to know the RE</w:t>
      </w:r>
      <w:r w:rsidR="008457A8">
        <w:t xml:space="preserve"> allocation</w:t>
      </w:r>
      <w:r w:rsidRPr="008457A8">
        <w:t xml:space="preserve"> in time and frequency domain in DL control region</w:t>
      </w:r>
    </w:p>
    <w:p w14:paraId="379BA8C3" w14:textId="77777777" w:rsidR="00F0674D" w:rsidRPr="008457A8" w:rsidRDefault="00C71BCF" w:rsidP="008457A8">
      <w:pPr>
        <w:numPr>
          <w:ilvl w:val="3"/>
          <w:numId w:val="10"/>
        </w:numPr>
      </w:pPr>
      <w:r w:rsidRPr="008457A8">
        <w:t>Time domain</w:t>
      </w:r>
    </w:p>
    <w:p w14:paraId="69A60DF0" w14:textId="77777777" w:rsidR="00F0674D" w:rsidRPr="008457A8" w:rsidRDefault="00C71BCF" w:rsidP="008457A8">
      <w:pPr>
        <w:numPr>
          <w:ilvl w:val="4"/>
          <w:numId w:val="10"/>
        </w:numPr>
      </w:pPr>
      <w:r w:rsidRPr="008457A8">
        <w:t>Starting symbol only or starting/ending symbol</w:t>
      </w:r>
    </w:p>
    <w:p w14:paraId="2271ACDF" w14:textId="77777777" w:rsidR="00F0674D" w:rsidRPr="008457A8" w:rsidRDefault="00C71BCF" w:rsidP="008457A8">
      <w:pPr>
        <w:numPr>
          <w:ilvl w:val="3"/>
          <w:numId w:val="10"/>
        </w:numPr>
      </w:pPr>
      <w:r w:rsidRPr="008457A8">
        <w:t>Frequency domain</w:t>
      </w:r>
    </w:p>
    <w:p w14:paraId="7E01A413" w14:textId="77382076" w:rsidR="00F0674D" w:rsidRPr="008457A8" w:rsidRDefault="00C71BCF" w:rsidP="008457A8">
      <w:pPr>
        <w:numPr>
          <w:ilvl w:val="4"/>
          <w:numId w:val="10"/>
        </w:numPr>
      </w:pPr>
      <w:r w:rsidRPr="008457A8">
        <w:t>Starting/ending frequencies</w:t>
      </w:r>
      <w:r w:rsidR="008457A8">
        <w:t xml:space="preserve"> (if localized)</w:t>
      </w:r>
      <w:r w:rsidRPr="008457A8">
        <w:t xml:space="preserve"> or</w:t>
      </w:r>
      <w:r w:rsidRPr="008457A8">
        <w:rPr>
          <w:b/>
          <w:bCs/>
          <w:i/>
          <w:iCs/>
        </w:rPr>
        <w:t xml:space="preserve"> </w:t>
      </w:r>
      <w:r w:rsidRPr="008457A8">
        <w:t xml:space="preserve"> reuse</w:t>
      </w:r>
      <w:r w:rsidR="008457A8">
        <w:t>d</w:t>
      </w:r>
      <w:r w:rsidRPr="008457A8">
        <w:t xml:space="preserve"> CCEs (can be localized/distributed)</w:t>
      </w:r>
    </w:p>
    <w:p w14:paraId="2F629205" w14:textId="198342CF" w:rsidR="0085236B" w:rsidRDefault="00300088" w:rsidP="002C76DE">
      <w:r w:rsidRPr="00300088">
        <w:rPr>
          <w:b/>
          <w:u w:val="single"/>
        </w:rPr>
        <w:t>Proposal 1:</w:t>
      </w:r>
      <w:r>
        <w:t xml:space="preserve"> For resource reuse, time-domain expansion is only considered with respect to the allocated PDSCH in the data region</w:t>
      </w:r>
      <w:r w:rsidR="008E5069">
        <w:t>.</w:t>
      </w:r>
    </w:p>
    <w:p w14:paraId="08DF012A" w14:textId="5721DF5A" w:rsidR="00FE7963" w:rsidRDefault="00F15478" w:rsidP="00F270EE">
      <w:r w:rsidRPr="00F15478">
        <w:t xml:space="preserve">As discussed in [1], there will be a tradeoff between the overhead and reuse efficiency depending on the level of reuse. </w:t>
      </w:r>
      <w:r w:rsidR="00075D2B">
        <w:t>M</w:t>
      </w:r>
      <w:r w:rsidR="003B56D1">
        <w:t>ultiple ways of reuse</w:t>
      </w:r>
      <w:r w:rsidR="00E9465F">
        <w:t xml:space="preserve"> </w:t>
      </w:r>
      <w:r w:rsidR="00075D2B">
        <w:t>were discussed in [1], i.e., CORESET (or search space) level</w:t>
      </w:r>
      <w:r w:rsidR="00FE7963">
        <w:t>, OFDM symbol level,</w:t>
      </w:r>
      <w:r w:rsidR="00075D2B">
        <w:t xml:space="preserve"> and/or </w:t>
      </w:r>
      <w:r w:rsidR="00FE7963">
        <w:t xml:space="preserve">CCE </w:t>
      </w:r>
      <w:r w:rsidR="00075D2B">
        <w:t>level.</w:t>
      </w:r>
      <w:r w:rsidR="00DA31F1">
        <w:t xml:space="preserve"> Given the trade-off, we can consider flexible way of resource reuse depending on the deployment</w:t>
      </w:r>
      <w:r w:rsidR="00A77715">
        <w:t>, resource availability</w:t>
      </w:r>
      <w:r w:rsidR="00DA31F1">
        <w:t xml:space="preserve"> and scheduler policy.</w:t>
      </w:r>
      <w:r w:rsidR="00A77715">
        <w:t xml:space="preserve"> In other words, NW can configure the level of reuse (</w:t>
      </w:r>
      <w:r w:rsidR="00FE7963">
        <w:t>CORESET level, OFDM symbol level, or CCE level</w:t>
      </w:r>
      <w:r w:rsidR="00A77715">
        <w:t xml:space="preserve">) for the expanded region. </w:t>
      </w:r>
      <w:r w:rsidR="00A42BA3">
        <w:t xml:space="preserve">It should be noted that the current agreement allows </w:t>
      </w:r>
      <w:r w:rsidR="00F96C04">
        <w:t>this given the reuse resource set is not clearly restricted to certain level.</w:t>
      </w:r>
    </w:p>
    <w:p w14:paraId="4826D358" w14:textId="55AF2D14" w:rsidR="00FE7963" w:rsidRDefault="00FE7963" w:rsidP="00F270EE">
      <w:r>
        <w:t>For CORESET</w:t>
      </w:r>
      <w:r w:rsidR="00B67800">
        <w:t xml:space="preserve"> level reuse, NW needs to </w:t>
      </w:r>
      <w:r w:rsidR="003E6FD7">
        <w:t>indicate</w:t>
      </w:r>
      <w:r w:rsidR="00B67800">
        <w:t xml:space="preserve"> the exist</w:t>
      </w:r>
      <w:r w:rsidR="003E6FD7">
        <w:t>e</w:t>
      </w:r>
      <w:r w:rsidR="00B67800">
        <w:t xml:space="preserve">nce and the size for each CORESET used, though the UE is not monitoring all of them. Then a bitmap can be use to indicate if any of the CORESETs are empty, so the resource can be reused. </w:t>
      </w:r>
    </w:p>
    <w:p w14:paraId="47AE526D" w14:textId="164D8E17" w:rsidR="00B67800" w:rsidRDefault="00B67800" w:rsidP="00F270EE">
      <w:r>
        <w:t>When a CORESET has more than one OFDM symbol, OFDM symbol level reuse can be further considered. In this case, NW will indicate the OFDM symbols available within a CORESET for reuse, when the OFDM symbol is not used for PDCCH transmission. This level reuse can achieve sub-CORESET level reuse with minimum overhead, especially when the indicator can be combined with the PDSCH starting symbol indicator. However, this reuse is only possible when the CORESET is using frequency first CCE to REG mapping.</w:t>
      </w:r>
      <w:r w:rsidR="006C40F3">
        <w:t xml:space="preserve"> Under time first CCE to REG mapping, all OFDM symbols are used at the same time, and the reuse cannot be achieved in OFDM symbol level.</w:t>
      </w:r>
      <w:r w:rsidR="00CD3B48">
        <w:t xml:space="preserve"> Therefore, </w:t>
      </w:r>
      <w:r w:rsidR="00AD15ED">
        <w:t>we propose frequency first mapping in multi-symbol CORESET in our companion paper [2].</w:t>
      </w:r>
    </w:p>
    <w:p w14:paraId="6DFA86C0" w14:textId="70A397C2" w:rsidR="00B67800" w:rsidRDefault="00B67800" w:rsidP="00F270EE">
      <w:r>
        <w:t>When more overhead can be afforded, NW can configure CCE or group of CCE level reuse within a CORESET. In this case, NW will configure the UE about the size of each CCE groups and indicates the availability of the CCE groups using a bitmap. This approach has the highest efficiency of reuse, but needs relatively large overhead.</w:t>
      </w:r>
    </w:p>
    <w:p w14:paraId="4F01EF2D" w14:textId="7CE73A44" w:rsidR="00B67800" w:rsidRDefault="00B67800" w:rsidP="00F270EE">
      <w:r>
        <w:t xml:space="preserve">With these reuse mechanisms in mind, the NW can tradeoff overhead and reuse efficiency for different use cases. For example, for a wide band system with many CORESETs configured, it might be enough to stay with CORESET level reuse </w:t>
      </w:r>
      <w:r w:rsidR="00ED3612">
        <w:t xml:space="preserve">or even with super set of CORESET level reuse </w:t>
      </w:r>
      <w:r>
        <w:t xml:space="preserve">to keep the overhead low. For a narrow band system with only one CORESET, the NW may want to use CCE group level reuse to increase the reuse efficiency. </w:t>
      </w:r>
    </w:p>
    <w:p w14:paraId="68E4EB68" w14:textId="2CAEDD6E" w:rsidR="008E5069" w:rsidRDefault="008E5069" w:rsidP="008E5069">
      <w:r>
        <w:rPr>
          <w:b/>
          <w:u w:val="single"/>
        </w:rPr>
        <w:t>Proposal 2</w:t>
      </w:r>
      <w:r w:rsidRPr="00300088">
        <w:rPr>
          <w:b/>
          <w:u w:val="single"/>
        </w:rPr>
        <w:t>:</w:t>
      </w:r>
      <w:r>
        <w:t xml:space="preserve"> NW configures the level of reuse (CCE level,</w:t>
      </w:r>
      <w:r w:rsidR="00EC537B">
        <w:t xml:space="preserve"> </w:t>
      </w:r>
      <w:r>
        <w:t>CCE</w:t>
      </w:r>
      <w:r w:rsidR="006C40F3">
        <w:t xml:space="preserve"> group</w:t>
      </w:r>
      <w:r>
        <w:t xml:space="preserve"> level, </w:t>
      </w:r>
      <w:r w:rsidR="006C40F3">
        <w:t xml:space="preserve">OFDM symbol level, </w:t>
      </w:r>
      <w:r>
        <w:t>search space level</w:t>
      </w:r>
      <w:r w:rsidR="00ED3612">
        <w:t>,</w:t>
      </w:r>
      <w:r>
        <w:t xml:space="preserve"> CORESET level</w:t>
      </w:r>
      <w:r w:rsidR="00ED3612">
        <w:t xml:space="preserve"> or super set of CORESET level</w:t>
      </w:r>
      <w:r>
        <w:t>) and provide the bitmap for reuse as the part of the DCI with the DL grant.</w:t>
      </w:r>
    </w:p>
    <w:p w14:paraId="4A9BBA74" w14:textId="6029A05B" w:rsidR="009B454A" w:rsidRDefault="009B454A" w:rsidP="008E5069">
      <w:r>
        <w:t xml:space="preserve">It should be noted that there should be </w:t>
      </w:r>
      <w:r w:rsidR="0000011A">
        <w:t>a</w:t>
      </w:r>
      <w:r>
        <w:t xml:space="preserve"> maximum limit</w:t>
      </w:r>
      <w:r w:rsidR="0000011A">
        <w:t xml:space="preserve"> in the size of bitmap in the DCI for dynamic reuse indication. The flexibility of reuse level can be allowed within this limit.</w:t>
      </w:r>
    </w:p>
    <w:p w14:paraId="05329296" w14:textId="52B063DB" w:rsidR="00ED3612" w:rsidRDefault="009B454A" w:rsidP="009B454A">
      <w:pPr>
        <w:pStyle w:val="Heading1"/>
      </w:pPr>
      <w:r>
        <w:t>Default rate matching</w:t>
      </w:r>
    </w:p>
    <w:p w14:paraId="53F3B7FA" w14:textId="61409519" w:rsidR="009B454A" w:rsidRDefault="009B454A" w:rsidP="009B454A">
      <w:pPr>
        <w:rPr>
          <w:lang w:val="en-GB"/>
        </w:rPr>
      </w:pPr>
      <w:r>
        <w:rPr>
          <w:lang w:val="en-GB"/>
        </w:rPr>
        <w:t>In addition to the following rate matching rule, additional rule might be useful for NR.</w:t>
      </w:r>
    </w:p>
    <w:p w14:paraId="293C40F6" w14:textId="77777777" w:rsidR="009B454A" w:rsidRPr="008418BF" w:rsidRDefault="009B454A" w:rsidP="009B454A">
      <w:pPr>
        <w:numPr>
          <w:ilvl w:val="0"/>
          <w:numId w:val="14"/>
        </w:numPr>
        <w:tabs>
          <w:tab w:val="left" w:pos="1440"/>
        </w:tabs>
        <w:overflowPunct/>
        <w:autoSpaceDE/>
        <w:autoSpaceDN/>
        <w:adjustRightInd/>
        <w:spacing w:after="120"/>
        <w:textAlignment w:val="auto"/>
        <w:rPr>
          <w:rFonts w:eastAsia="MS Mincho"/>
          <w:lang w:eastAsia="ja-JP"/>
        </w:rPr>
      </w:pPr>
      <w:r w:rsidRPr="00D608B9">
        <w:rPr>
          <w:rFonts w:eastAsia="MS Mincho"/>
          <w:lang w:eastAsia="ja-JP"/>
        </w:rPr>
        <w:t>When the scheduled PDSCH overlaps with the PDCCH scheduling the PDSCH, the UE shall assume that the scheduled PDSCH is rate-matched around the PDCCH scheduling the PDSCH</w:t>
      </w:r>
    </w:p>
    <w:p w14:paraId="05A4D0A1" w14:textId="41BF4B9F" w:rsidR="009B454A" w:rsidRDefault="009B454A" w:rsidP="009B454A">
      <w:r>
        <w:t>Other than the PDCCH contain</w:t>
      </w:r>
      <w:r w:rsidR="00EC537B">
        <w:t>in</w:t>
      </w:r>
      <w:r>
        <w:t>g the DL grant, UE can have group common PDCCH</w:t>
      </w:r>
      <w:r w:rsidR="00205ACD">
        <w:t xml:space="preserve"> and/or</w:t>
      </w:r>
      <w:r>
        <w:t xml:space="preserve"> other UE-specific PDCCH for the UE such as the PDCCH with UL grant. The caveat is that the decoding of those PDCCH is not guaranteed. Therefore, in order to avoid confusion/mismatch between gNB and UE, we can consider rate matching</w:t>
      </w:r>
      <w:r w:rsidR="0000011A">
        <w:t xml:space="preserve"> around:</w:t>
      </w:r>
    </w:p>
    <w:p w14:paraId="3AFB055F" w14:textId="0ADAC6F3" w:rsidR="0000011A" w:rsidRPr="00AD16A0" w:rsidRDefault="0000011A" w:rsidP="0000011A">
      <w:pPr>
        <w:pStyle w:val="ListParagraph"/>
        <w:numPr>
          <w:ilvl w:val="0"/>
          <w:numId w:val="16"/>
        </w:numPr>
        <w:rPr>
          <w:rFonts w:ascii="Times New Roman" w:hAnsi="Times New Roman"/>
          <w:sz w:val="20"/>
        </w:rPr>
      </w:pPr>
      <w:r w:rsidRPr="00AD16A0">
        <w:rPr>
          <w:rFonts w:ascii="Times New Roman" w:hAnsi="Times New Roman"/>
          <w:sz w:val="20"/>
        </w:rPr>
        <w:t>The configured decoding candidate for a group common PDCCH</w:t>
      </w:r>
    </w:p>
    <w:p w14:paraId="060F0B9B" w14:textId="0D8A5EFE" w:rsidR="0000011A" w:rsidRPr="00AD16A0" w:rsidRDefault="00205ACD" w:rsidP="00205ACD">
      <w:pPr>
        <w:pStyle w:val="ListParagraph"/>
        <w:numPr>
          <w:ilvl w:val="0"/>
          <w:numId w:val="16"/>
        </w:numPr>
        <w:spacing w:after="120"/>
        <w:rPr>
          <w:rFonts w:ascii="Times New Roman" w:hAnsi="Times New Roman"/>
          <w:sz w:val="20"/>
        </w:rPr>
      </w:pPr>
      <w:r w:rsidRPr="00AD16A0">
        <w:rPr>
          <w:rFonts w:ascii="Times New Roman" w:hAnsi="Times New Roman"/>
          <w:sz w:val="20"/>
        </w:rPr>
        <w:t>UE-specific decoding candidates containing the PDCCH scheduling the PDSCH</w:t>
      </w:r>
    </w:p>
    <w:p w14:paraId="20501A7C" w14:textId="15599985" w:rsidR="00205ACD" w:rsidRDefault="00205ACD" w:rsidP="00205ACD">
      <w:r>
        <w:rPr>
          <w:b/>
          <w:u w:val="single"/>
        </w:rPr>
        <w:lastRenderedPageBreak/>
        <w:t>Proposal 3</w:t>
      </w:r>
      <w:r w:rsidRPr="00300088">
        <w:rPr>
          <w:b/>
          <w:u w:val="single"/>
        </w:rPr>
        <w:t>:</w:t>
      </w:r>
      <w:r>
        <w:t xml:space="preserve"> UE shall assume that the scheduled PDSCH is rate-matched around the configured decoding candidate</w:t>
      </w:r>
      <w:r w:rsidR="00AD16A0">
        <w:t>(s)</w:t>
      </w:r>
      <w:r>
        <w:t xml:space="preserve"> for a group common PDCCH for that UE.</w:t>
      </w:r>
    </w:p>
    <w:p w14:paraId="2C59A1BB" w14:textId="76DD43D2" w:rsidR="00205ACD" w:rsidRDefault="00205ACD" w:rsidP="00205ACD">
      <w:r>
        <w:rPr>
          <w:b/>
          <w:u w:val="single"/>
        </w:rPr>
        <w:t>Proposal 4</w:t>
      </w:r>
      <w:r w:rsidRPr="00300088">
        <w:rPr>
          <w:b/>
          <w:u w:val="single"/>
        </w:rPr>
        <w:t>:</w:t>
      </w:r>
      <w:r>
        <w:t xml:space="preserve"> UE </w:t>
      </w:r>
      <w:r w:rsidR="00994732">
        <w:t>can be configured to have</w:t>
      </w:r>
      <w:r>
        <w:t xml:space="preserve"> the scheduled PDSCH rate-matched around all the UE-specific decoding candidates containing the PDCCH scheduling the PDSCH.</w:t>
      </w:r>
    </w:p>
    <w:p w14:paraId="56D28D4B" w14:textId="26018A49" w:rsidR="00067CA8" w:rsidRPr="00226FE2" w:rsidRDefault="004503F9" w:rsidP="00067CA8">
      <w:pPr>
        <w:pStyle w:val="Heading1"/>
        <w:rPr>
          <w:lang w:eastAsia="zh-CN"/>
        </w:rPr>
      </w:pPr>
      <w:r>
        <w:rPr>
          <w:lang w:eastAsia="zh-CN"/>
        </w:rPr>
        <w:t>Conclusions</w:t>
      </w:r>
    </w:p>
    <w:p w14:paraId="013A99D1" w14:textId="5733FCF4" w:rsidR="008E5069" w:rsidRDefault="008E5069" w:rsidP="008E5069">
      <w:pPr>
        <w:jc w:val="both"/>
        <w:rPr>
          <w:szCs w:val="22"/>
        </w:rPr>
      </w:pPr>
      <w:r>
        <w:rPr>
          <w:szCs w:val="22"/>
        </w:rPr>
        <w:t>In this contribution, we have discussed</w:t>
      </w:r>
      <w:r w:rsidR="00205ACD">
        <w:rPr>
          <w:szCs w:val="22"/>
        </w:rPr>
        <w:t xml:space="preserve"> additional</w:t>
      </w:r>
      <w:r>
        <w:rPr>
          <w:szCs w:val="22"/>
        </w:rPr>
        <w:t xml:space="preserve"> details on the reuse mechanism and have made the following proposals:</w:t>
      </w:r>
    </w:p>
    <w:p w14:paraId="2C63F557" w14:textId="77777777" w:rsidR="008E5069" w:rsidRDefault="008E5069" w:rsidP="008E5069">
      <w:r w:rsidRPr="00300088">
        <w:rPr>
          <w:b/>
          <w:u w:val="single"/>
        </w:rPr>
        <w:t>Proposal 1:</w:t>
      </w:r>
      <w:r>
        <w:t xml:space="preserve"> For resource reuse, time-domain expansion is only considered with respect to the allocated PDSCH in the data region.</w:t>
      </w:r>
    </w:p>
    <w:p w14:paraId="72FB437E" w14:textId="404D784C" w:rsidR="00ED3612" w:rsidRDefault="00ED3612" w:rsidP="00ED3612">
      <w:r>
        <w:rPr>
          <w:b/>
          <w:u w:val="single"/>
        </w:rPr>
        <w:t>Proposal 2</w:t>
      </w:r>
      <w:r w:rsidRPr="00300088">
        <w:rPr>
          <w:b/>
          <w:u w:val="single"/>
        </w:rPr>
        <w:t>:</w:t>
      </w:r>
      <w:r>
        <w:t xml:space="preserve"> NW configures the level of reuse (CCE level,</w:t>
      </w:r>
      <w:r w:rsidR="00EC537B">
        <w:t xml:space="preserve"> </w:t>
      </w:r>
      <w:bookmarkStart w:id="2" w:name="_GoBack"/>
      <w:bookmarkEnd w:id="2"/>
      <w:r>
        <w:t>CCE group level, OFDM symbol level, search space level, CORESET level or super set of CORESET level) and provide the bitmap for reuse as the part of the DCI with the DL grant.</w:t>
      </w:r>
    </w:p>
    <w:p w14:paraId="53278548" w14:textId="630DDB68" w:rsidR="00205ACD" w:rsidRPr="00994732" w:rsidRDefault="007568D9" w:rsidP="007568D9">
      <w:pPr>
        <w:pStyle w:val="ListParagraph"/>
        <w:numPr>
          <w:ilvl w:val="0"/>
          <w:numId w:val="17"/>
        </w:numPr>
        <w:spacing w:after="240"/>
        <w:rPr>
          <w:rFonts w:ascii="Times New Roman" w:hAnsi="Times New Roman"/>
          <w:sz w:val="20"/>
        </w:rPr>
      </w:pPr>
      <w:r w:rsidRPr="00994732">
        <w:rPr>
          <w:rFonts w:ascii="Times New Roman" w:hAnsi="Times New Roman"/>
          <w:sz w:val="20"/>
        </w:rPr>
        <w:t>T</w:t>
      </w:r>
      <w:r w:rsidR="00205ACD" w:rsidRPr="00994732">
        <w:rPr>
          <w:rFonts w:ascii="Times New Roman" w:hAnsi="Times New Roman"/>
          <w:sz w:val="20"/>
        </w:rPr>
        <w:t>here should be a maximum limit in the size of bitmap in the DCI for dynamic reuse indication. The flexibility of reuse level can be allowed within this limit.</w:t>
      </w:r>
    </w:p>
    <w:p w14:paraId="716436D4" w14:textId="604408FB" w:rsidR="00205ACD" w:rsidRDefault="00205ACD" w:rsidP="00205ACD">
      <w:r>
        <w:rPr>
          <w:b/>
          <w:u w:val="single"/>
        </w:rPr>
        <w:t>Proposal 3</w:t>
      </w:r>
      <w:r w:rsidRPr="00300088">
        <w:rPr>
          <w:b/>
          <w:u w:val="single"/>
        </w:rPr>
        <w:t>:</w:t>
      </w:r>
      <w:r>
        <w:t xml:space="preserve"> UE shall assume that the scheduled PDSCH is rate-matched around the configured decoding candidate</w:t>
      </w:r>
      <w:r w:rsidR="00994732">
        <w:t>(s)</w:t>
      </w:r>
      <w:r>
        <w:t xml:space="preserve"> for a group common PDCCH for that UE.</w:t>
      </w:r>
    </w:p>
    <w:p w14:paraId="142FD79C" w14:textId="77777777" w:rsidR="00994732" w:rsidRDefault="00994732" w:rsidP="00994732">
      <w:r>
        <w:rPr>
          <w:b/>
          <w:u w:val="single"/>
        </w:rPr>
        <w:t>Proposal 4</w:t>
      </w:r>
      <w:r w:rsidRPr="00300088">
        <w:rPr>
          <w:b/>
          <w:u w:val="single"/>
        </w:rPr>
        <w:t>:</w:t>
      </w:r>
      <w:r>
        <w:t xml:space="preserve"> UE can be configured to have the scheduled PDSCH rate-matched around all the UE-specific decoding candidates containing the PDCCH scheduling the PDSCH.</w:t>
      </w:r>
    </w:p>
    <w:p w14:paraId="349B5979" w14:textId="0A6F4182" w:rsidR="008D2DE5" w:rsidRPr="00226FE2" w:rsidRDefault="00994732" w:rsidP="00994732">
      <w:pPr>
        <w:pStyle w:val="Heading1"/>
        <w:rPr>
          <w:lang w:eastAsia="zh-CN"/>
        </w:rPr>
      </w:pPr>
      <w:r>
        <w:rPr>
          <w:lang w:eastAsia="zh-CN"/>
        </w:rPr>
        <w:t xml:space="preserve"> </w:t>
      </w:r>
      <w:r w:rsidR="008D2DE5">
        <w:rPr>
          <w:lang w:eastAsia="zh-CN"/>
        </w:rPr>
        <w:t>References</w:t>
      </w:r>
    </w:p>
    <w:p w14:paraId="46C43DFD" w14:textId="706C0E53" w:rsidR="008D2DE5" w:rsidRDefault="008D2DE5" w:rsidP="008D2DE5">
      <w:pPr>
        <w:jc w:val="both"/>
        <w:rPr>
          <w:szCs w:val="22"/>
        </w:rPr>
      </w:pPr>
      <w:r>
        <w:rPr>
          <w:szCs w:val="22"/>
        </w:rPr>
        <w:t>[1] R1-1708612, “Resource reuse for data in DL control region”, Qualcomm Incorporated</w:t>
      </w:r>
    </w:p>
    <w:p w14:paraId="7C6E7B90" w14:textId="72384825" w:rsidR="00AD15ED" w:rsidRDefault="00AD15ED" w:rsidP="008D2DE5">
      <w:pPr>
        <w:jc w:val="both"/>
        <w:rPr>
          <w:szCs w:val="22"/>
        </w:rPr>
      </w:pPr>
      <w:r>
        <w:rPr>
          <w:szCs w:val="22"/>
        </w:rPr>
        <w:t>[2] R1-1716413, “Remaining issues on PDCCH structure”, Qualcomm Incorporated</w:t>
      </w:r>
    </w:p>
    <w:p w14:paraId="77BEC18E" w14:textId="6852FB1C" w:rsidR="009A402E" w:rsidRDefault="009A402E" w:rsidP="009A402E">
      <w:pPr>
        <w:jc w:val="both"/>
        <w:rPr>
          <w:szCs w:val="22"/>
        </w:rPr>
      </w:pPr>
    </w:p>
    <w:sectPr w:rsidR="009A402E" w:rsidSect="00DD02F5">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3CB10" w14:textId="77777777" w:rsidR="00AE4421" w:rsidRDefault="00AE4421">
      <w:r>
        <w:separator/>
      </w:r>
    </w:p>
  </w:endnote>
  <w:endnote w:type="continuationSeparator" w:id="0">
    <w:p w14:paraId="2076E044" w14:textId="77777777" w:rsidR="00AE4421" w:rsidRDefault="00AE4421">
      <w:r>
        <w:continuationSeparator/>
      </w:r>
    </w:p>
  </w:endnote>
  <w:endnote w:type="continuationNotice" w:id="1">
    <w:p w14:paraId="3B650E31" w14:textId="77777777" w:rsidR="00AE4421" w:rsidRDefault="00AE4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Qualcomm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1B16B0" w:rsidRDefault="001B16B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B16B0" w:rsidRDefault="001B16B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B3348BA" w:rsidR="001B16B0" w:rsidRDefault="001B16B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C537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537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EC4FA" w14:textId="77777777" w:rsidR="00AE4421" w:rsidRDefault="00AE4421">
      <w:r>
        <w:separator/>
      </w:r>
    </w:p>
  </w:footnote>
  <w:footnote w:type="continuationSeparator" w:id="0">
    <w:p w14:paraId="658809C0" w14:textId="77777777" w:rsidR="00AE4421" w:rsidRDefault="00AE4421">
      <w:r>
        <w:continuationSeparator/>
      </w:r>
    </w:p>
  </w:footnote>
  <w:footnote w:type="continuationNotice" w:id="1">
    <w:p w14:paraId="09A888F9" w14:textId="77777777" w:rsidR="00AE4421" w:rsidRDefault="00AE44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1B16B0" w:rsidRDefault="001B16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6pt;height:1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4A5685"/>
    <w:multiLevelType w:val="hybridMultilevel"/>
    <w:tmpl w:val="D044440C"/>
    <w:lvl w:ilvl="0" w:tplc="0AF6F28C">
      <w:start w:val="1"/>
      <w:numFmt w:val="bullet"/>
      <w:lvlText w:val=""/>
      <w:lvlPicBulletId w:val="0"/>
      <w:lvlJc w:val="left"/>
      <w:pPr>
        <w:tabs>
          <w:tab w:val="num" w:pos="720"/>
        </w:tabs>
        <w:ind w:left="720" w:hanging="360"/>
      </w:pPr>
      <w:rPr>
        <w:rFonts w:ascii="Symbol" w:hAnsi="Symbol" w:hint="default"/>
      </w:rPr>
    </w:lvl>
    <w:lvl w:ilvl="1" w:tplc="8DEAC8A4" w:tentative="1">
      <w:start w:val="1"/>
      <w:numFmt w:val="bullet"/>
      <w:lvlText w:val=""/>
      <w:lvlPicBulletId w:val="0"/>
      <w:lvlJc w:val="left"/>
      <w:pPr>
        <w:tabs>
          <w:tab w:val="num" w:pos="1440"/>
        </w:tabs>
        <w:ind w:left="1440" w:hanging="360"/>
      </w:pPr>
      <w:rPr>
        <w:rFonts w:ascii="Symbol" w:hAnsi="Symbol" w:hint="default"/>
      </w:rPr>
    </w:lvl>
    <w:lvl w:ilvl="2" w:tplc="C31463EA">
      <w:start w:val="33"/>
      <w:numFmt w:val="bullet"/>
      <w:lvlText w:val="−"/>
      <w:lvlJc w:val="left"/>
      <w:pPr>
        <w:tabs>
          <w:tab w:val="num" w:pos="2160"/>
        </w:tabs>
        <w:ind w:left="2160" w:hanging="360"/>
      </w:pPr>
      <w:rPr>
        <w:rFonts w:ascii="Calibre Regular" w:hAnsi="Calibre Regular" w:hint="default"/>
      </w:rPr>
    </w:lvl>
    <w:lvl w:ilvl="3" w:tplc="6DEA429A" w:tentative="1">
      <w:start w:val="1"/>
      <w:numFmt w:val="bullet"/>
      <w:lvlText w:val=""/>
      <w:lvlPicBulletId w:val="0"/>
      <w:lvlJc w:val="left"/>
      <w:pPr>
        <w:tabs>
          <w:tab w:val="num" w:pos="2880"/>
        </w:tabs>
        <w:ind w:left="2880" w:hanging="360"/>
      </w:pPr>
      <w:rPr>
        <w:rFonts w:ascii="Symbol" w:hAnsi="Symbol" w:hint="default"/>
      </w:rPr>
    </w:lvl>
    <w:lvl w:ilvl="4" w:tplc="899CC916" w:tentative="1">
      <w:start w:val="1"/>
      <w:numFmt w:val="bullet"/>
      <w:lvlText w:val=""/>
      <w:lvlPicBulletId w:val="0"/>
      <w:lvlJc w:val="left"/>
      <w:pPr>
        <w:tabs>
          <w:tab w:val="num" w:pos="3600"/>
        </w:tabs>
        <w:ind w:left="3600" w:hanging="360"/>
      </w:pPr>
      <w:rPr>
        <w:rFonts w:ascii="Symbol" w:hAnsi="Symbol" w:hint="default"/>
      </w:rPr>
    </w:lvl>
    <w:lvl w:ilvl="5" w:tplc="FB6C1094" w:tentative="1">
      <w:start w:val="1"/>
      <w:numFmt w:val="bullet"/>
      <w:lvlText w:val=""/>
      <w:lvlPicBulletId w:val="0"/>
      <w:lvlJc w:val="left"/>
      <w:pPr>
        <w:tabs>
          <w:tab w:val="num" w:pos="4320"/>
        </w:tabs>
        <w:ind w:left="4320" w:hanging="360"/>
      </w:pPr>
      <w:rPr>
        <w:rFonts w:ascii="Symbol" w:hAnsi="Symbol" w:hint="default"/>
      </w:rPr>
    </w:lvl>
    <w:lvl w:ilvl="6" w:tplc="3D4847C6" w:tentative="1">
      <w:start w:val="1"/>
      <w:numFmt w:val="bullet"/>
      <w:lvlText w:val=""/>
      <w:lvlPicBulletId w:val="0"/>
      <w:lvlJc w:val="left"/>
      <w:pPr>
        <w:tabs>
          <w:tab w:val="num" w:pos="5040"/>
        </w:tabs>
        <w:ind w:left="5040" w:hanging="360"/>
      </w:pPr>
      <w:rPr>
        <w:rFonts w:ascii="Symbol" w:hAnsi="Symbol" w:hint="default"/>
      </w:rPr>
    </w:lvl>
    <w:lvl w:ilvl="7" w:tplc="0192A20A" w:tentative="1">
      <w:start w:val="1"/>
      <w:numFmt w:val="bullet"/>
      <w:lvlText w:val=""/>
      <w:lvlPicBulletId w:val="0"/>
      <w:lvlJc w:val="left"/>
      <w:pPr>
        <w:tabs>
          <w:tab w:val="num" w:pos="5760"/>
        </w:tabs>
        <w:ind w:left="5760" w:hanging="360"/>
      </w:pPr>
      <w:rPr>
        <w:rFonts w:ascii="Symbol" w:hAnsi="Symbol" w:hint="default"/>
      </w:rPr>
    </w:lvl>
    <w:lvl w:ilvl="8" w:tplc="F624694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8065C68"/>
    <w:multiLevelType w:val="hybridMultilevel"/>
    <w:tmpl w:val="26AAC43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70307E"/>
    <w:multiLevelType w:val="hybridMultilevel"/>
    <w:tmpl w:val="67E4FA04"/>
    <w:lvl w:ilvl="0" w:tplc="27880C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17B22"/>
    <w:multiLevelType w:val="hybridMultilevel"/>
    <w:tmpl w:val="5B44C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7378"/>
    <w:multiLevelType w:val="hybridMultilevel"/>
    <w:tmpl w:val="1C381BA0"/>
    <w:lvl w:ilvl="0" w:tplc="1DCA230C">
      <w:start w:val="1"/>
      <w:numFmt w:val="bullet"/>
      <w:lvlText w:val=""/>
      <w:lvlPicBulletId w:val="0"/>
      <w:lvlJc w:val="left"/>
      <w:pPr>
        <w:tabs>
          <w:tab w:val="num" w:pos="720"/>
        </w:tabs>
        <w:ind w:left="720" w:hanging="360"/>
      </w:pPr>
      <w:rPr>
        <w:rFonts w:ascii="Symbol" w:hAnsi="Symbol" w:hint="default"/>
      </w:rPr>
    </w:lvl>
    <w:lvl w:ilvl="1" w:tplc="DC7C28C8">
      <w:start w:val="33"/>
      <w:numFmt w:val="bullet"/>
      <w:lvlText w:val="−"/>
      <w:lvlJc w:val="left"/>
      <w:pPr>
        <w:tabs>
          <w:tab w:val="num" w:pos="1440"/>
        </w:tabs>
        <w:ind w:left="1440" w:hanging="360"/>
      </w:pPr>
      <w:rPr>
        <w:rFonts w:ascii="Calibre Regular" w:hAnsi="Calibre Regular" w:hint="default"/>
      </w:rPr>
    </w:lvl>
    <w:lvl w:ilvl="2" w:tplc="F3B61AAE">
      <w:start w:val="33"/>
      <w:numFmt w:val="bullet"/>
      <w:lvlText w:val="−"/>
      <w:lvlJc w:val="left"/>
      <w:pPr>
        <w:tabs>
          <w:tab w:val="num" w:pos="2160"/>
        </w:tabs>
        <w:ind w:left="2160" w:hanging="360"/>
      </w:pPr>
      <w:rPr>
        <w:rFonts w:ascii="Calibre Regular" w:hAnsi="Calibre Regular" w:hint="default"/>
      </w:rPr>
    </w:lvl>
    <w:lvl w:ilvl="3" w:tplc="DC4A8416">
      <w:start w:val="33"/>
      <w:numFmt w:val="bullet"/>
      <w:lvlText w:val="−"/>
      <w:lvlJc w:val="left"/>
      <w:pPr>
        <w:tabs>
          <w:tab w:val="num" w:pos="2880"/>
        </w:tabs>
        <w:ind w:left="2880" w:hanging="360"/>
      </w:pPr>
      <w:rPr>
        <w:rFonts w:ascii="Calibre Regular" w:hAnsi="Calibre Regular" w:hint="default"/>
      </w:rPr>
    </w:lvl>
    <w:lvl w:ilvl="4" w:tplc="C2967934" w:tentative="1">
      <w:start w:val="1"/>
      <w:numFmt w:val="bullet"/>
      <w:lvlText w:val=""/>
      <w:lvlPicBulletId w:val="0"/>
      <w:lvlJc w:val="left"/>
      <w:pPr>
        <w:tabs>
          <w:tab w:val="num" w:pos="3600"/>
        </w:tabs>
        <w:ind w:left="3600" w:hanging="360"/>
      </w:pPr>
      <w:rPr>
        <w:rFonts w:ascii="Symbol" w:hAnsi="Symbol" w:hint="default"/>
      </w:rPr>
    </w:lvl>
    <w:lvl w:ilvl="5" w:tplc="25E4E0EC" w:tentative="1">
      <w:start w:val="1"/>
      <w:numFmt w:val="bullet"/>
      <w:lvlText w:val=""/>
      <w:lvlPicBulletId w:val="0"/>
      <w:lvlJc w:val="left"/>
      <w:pPr>
        <w:tabs>
          <w:tab w:val="num" w:pos="4320"/>
        </w:tabs>
        <w:ind w:left="4320" w:hanging="360"/>
      </w:pPr>
      <w:rPr>
        <w:rFonts w:ascii="Symbol" w:hAnsi="Symbol" w:hint="default"/>
      </w:rPr>
    </w:lvl>
    <w:lvl w:ilvl="6" w:tplc="3C948958" w:tentative="1">
      <w:start w:val="1"/>
      <w:numFmt w:val="bullet"/>
      <w:lvlText w:val=""/>
      <w:lvlPicBulletId w:val="0"/>
      <w:lvlJc w:val="left"/>
      <w:pPr>
        <w:tabs>
          <w:tab w:val="num" w:pos="5040"/>
        </w:tabs>
        <w:ind w:left="5040" w:hanging="360"/>
      </w:pPr>
      <w:rPr>
        <w:rFonts w:ascii="Symbol" w:hAnsi="Symbol" w:hint="default"/>
      </w:rPr>
    </w:lvl>
    <w:lvl w:ilvl="7" w:tplc="933C09C6" w:tentative="1">
      <w:start w:val="1"/>
      <w:numFmt w:val="bullet"/>
      <w:lvlText w:val=""/>
      <w:lvlPicBulletId w:val="0"/>
      <w:lvlJc w:val="left"/>
      <w:pPr>
        <w:tabs>
          <w:tab w:val="num" w:pos="5760"/>
        </w:tabs>
        <w:ind w:left="5760" w:hanging="360"/>
      </w:pPr>
      <w:rPr>
        <w:rFonts w:ascii="Symbol" w:hAnsi="Symbol" w:hint="default"/>
      </w:rPr>
    </w:lvl>
    <w:lvl w:ilvl="8" w:tplc="2AB854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560573"/>
    <w:multiLevelType w:val="hybridMultilevel"/>
    <w:tmpl w:val="686C7B10"/>
    <w:lvl w:ilvl="0" w:tplc="A7ACF248">
      <w:start w:val="1"/>
      <w:numFmt w:val="bullet"/>
      <w:lvlText w:val=""/>
      <w:lvlPicBulletId w:val="0"/>
      <w:lvlJc w:val="left"/>
      <w:pPr>
        <w:tabs>
          <w:tab w:val="num" w:pos="720"/>
        </w:tabs>
        <w:ind w:left="720" w:hanging="360"/>
      </w:pPr>
      <w:rPr>
        <w:rFonts w:ascii="Symbol" w:hAnsi="Symbol" w:hint="default"/>
      </w:rPr>
    </w:lvl>
    <w:lvl w:ilvl="1" w:tplc="6BEA5298">
      <w:start w:val="33"/>
      <w:numFmt w:val="bullet"/>
      <w:lvlText w:val="−"/>
      <w:lvlJc w:val="left"/>
      <w:pPr>
        <w:tabs>
          <w:tab w:val="num" w:pos="1440"/>
        </w:tabs>
        <w:ind w:left="1440" w:hanging="360"/>
      </w:pPr>
      <w:rPr>
        <w:rFonts w:ascii="Calibre Regular" w:hAnsi="Calibre Regular" w:hint="default"/>
      </w:rPr>
    </w:lvl>
    <w:lvl w:ilvl="2" w:tplc="26C481DE">
      <w:start w:val="33"/>
      <w:numFmt w:val="bullet"/>
      <w:lvlText w:val="−"/>
      <w:lvlJc w:val="left"/>
      <w:pPr>
        <w:tabs>
          <w:tab w:val="num" w:pos="2160"/>
        </w:tabs>
        <w:ind w:left="2160" w:hanging="360"/>
      </w:pPr>
      <w:rPr>
        <w:rFonts w:ascii="Calibre Regular" w:hAnsi="Calibre Regular" w:hint="default"/>
      </w:rPr>
    </w:lvl>
    <w:lvl w:ilvl="3" w:tplc="9650E018" w:tentative="1">
      <w:start w:val="1"/>
      <w:numFmt w:val="bullet"/>
      <w:lvlText w:val=""/>
      <w:lvlPicBulletId w:val="0"/>
      <w:lvlJc w:val="left"/>
      <w:pPr>
        <w:tabs>
          <w:tab w:val="num" w:pos="2880"/>
        </w:tabs>
        <w:ind w:left="2880" w:hanging="360"/>
      </w:pPr>
      <w:rPr>
        <w:rFonts w:ascii="Symbol" w:hAnsi="Symbol" w:hint="default"/>
      </w:rPr>
    </w:lvl>
    <w:lvl w:ilvl="4" w:tplc="74C07EA8" w:tentative="1">
      <w:start w:val="1"/>
      <w:numFmt w:val="bullet"/>
      <w:lvlText w:val=""/>
      <w:lvlPicBulletId w:val="0"/>
      <w:lvlJc w:val="left"/>
      <w:pPr>
        <w:tabs>
          <w:tab w:val="num" w:pos="3600"/>
        </w:tabs>
        <w:ind w:left="3600" w:hanging="360"/>
      </w:pPr>
      <w:rPr>
        <w:rFonts w:ascii="Symbol" w:hAnsi="Symbol" w:hint="default"/>
      </w:rPr>
    </w:lvl>
    <w:lvl w:ilvl="5" w:tplc="73A042B4" w:tentative="1">
      <w:start w:val="1"/>
      <w:numFmt w:val="bullet"/>
      <w:lvlText w:val=""/>
      <w:lvlPicBulletId w:val="0"/>
      <w:lvlJc w:val="left"/>
      <w:pPr>
        <w:tabs>
          <w:tab w:val="num" w:pos="4320"/>
        </w:tabs>
        <w:ind w:left="4320" w:hanging="360"/>
      </w:pPr>
      <w:rPr>
        <w:rFonts w:ascii="Symbol" w:hAnsi="Symbol" w:hint="default"/>
      </w:rPr>
    </w:lvl>
    <w:lvl w:ilvl="6" w:tplc="83980706" w:tentative="1">
      <w:start w:val="1"/>
      <w:numFmt w:val="bullet"/>
      <w:lvlText w:val=""/>
      <w:lvlPicBulletId w:val="0"/>
      <w:lvlJc w:val="left"/>
      <w:pPr>
        <w:tabs>
          <w:tab w:val="num" w:pos="5040"/>
        </w:tabs>
        <w:ind w:left="5040" w:hanging="360"/>
      </w:pPr>
      <w:rPr>
        <w:rFonts w:ascii="Symbol" w:hAnsi="Symbol" w:hint="default"/>
      </w:rPr>
    </w:lvl>
    <w:lvl w:ilvl="7" w:tplc="CDE8CDF4" w:tentative="1">
      <w:start w:val="1"/>
      <w:numFmt w:val="bullet"/>
      <w:lvlText w:val=""/>
      <w:lvlPicBulletId w:val="0"/>
      <w:lvlJc w:val="left"/>
      <w:pPr>
        <w:tabs>
          <w:tab w:val="num" w:pos="5760"/>
        </w:tabs>
        <w:ind w:left="5760" w:hanging="360"/>
      </w:pPr>
      <w:rPr>
        <w:rFonts w:ascii="Symbol" w:hAnsi="Symbol" w:hint="default"/>
      </w:rPr>
    </w:lvl>
    <w:lvl w:ilvl="8" w:tplc="A992CA44"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4F6477C2"/>
    <w:multiLevelType w:val="hybridMultilevel"/>
    <w:tmpl w:val="5942BE92"/>
    <w:lvl w:ilvl="0" w:tplc="82989D36">
      <w:start w:val="1"/>
      <w:numFmt w:val="bullet"/>
      <w:lvlText w:val=""/>
      <w:lvlPicBulletId w:val="0"/>
      <w:lvlJc w:val="left"/>
      <w:pPr>
        <w:tabs>
          <w:tab w:val="num" w:pos="720"/>
        </w:tabs>
        <w:ind w:left="720" w:hanging="360"/>
      </w:pPr>
      <w:rPr>
        <w:rFonts w:ascii="Symbol" w:hAnsi="Symbol" w:hint="default"/>
      </w:rPr>
    </w:lvl>
    <w:lvl w:ilvl="1" w:tplc="B0843402" w:tentative="1">
      <w:start w:val="1"/>
      <w:numFmt w:val="bullet"/>
      <w:lvlText w:val=""/>
      <w:lvlPicBulletId w:val="0"/>
      <w:lvlJc w:val="left"/>
      <w:pPr>
        <w:tabs>
          <w:tab w:val="num" w:pos="1440"/>
        </w:tabs>
        <w:ind w:left="1440" w:hanging="360"/>
      </w:pPr>
      <w:rPr>
        <w:rFonts w:ascii="Symbol" w:hAnsi="Symbol" w:hint="default"/>
      </w:rPr>
    </w:lvl>
    <w:lvl w:ilvl="2" w:tplc="A60A5A54">
      <w:start w:val="33"/>
      <w:numFmt w:val="bullet"/>
      <w:lvlText w:val="−"/>
      <w:lvlJc w:val="left"/>
      <w:pPr>
        <w:tabs>
          <w:tab w:val="num" w:pos="2160"/>
        </w:tabs>
        <w:ind w:left="2160" w:hanging="360"/>
      </w:pPr>
      <w:rPr>
        <w:rFonts w:ascii="Calibre Regular" w:hAnsi="Calibre Regular" w:hint="default"/>
      </w:rPr>
    </w:lvl>
    <w:lvl w:ilvl="3" w:tplc="B90CB374">
      <w:start w:val="33"/>
      <w:numFmt w:val="bullet"/>
      <w:lvlText w:val="−"/>
      <w:lvlJc w:val="left"/>
      <w:pPr>
        <w:tabs>
          <w:tab w:val="num" w:pos="2880"/>
        </w:tabs>
        <w:ind w:left="2880" w:hanging="360"/>
      </w:pPr>
      <w:rPr>
        <w:rFonts w:ascii="Calibre Regular" w:hAnsi="Calibre Regular" w:hint="default"/>
      </w:rPr>
    </w:lvl>
    <w:lvl w:ilvl="4" w:tplc="EA626658">
      <w:start w:val="33"/>
      <w:numFmt w:val="bullet"/>
      <w:lvlText w:val="−"/>
      <w:lvlJc w:val="left"/>
      <w:pPr>
        <w:tabs>
          <w:tab w:val="num" w:pos="3600"/>
        </w:tabs>
        <w:ind w:left="3600" w:hanging="360"/>
      </w:pPr>
      <w:rPr>
        <w:rFonts w:ascii="Qualcomm Regular" w:hAnsi="Qualcomm Regular" w:hint="default"/>
      </w:rPr>
    </w:lvl>
    <w:lvl w:ilvl="5" w:tplc="AED4B040" w:tentative="1">
      <w:start w:val="1"/>
      <w:numFmt w:val="bullet"/>
      <w:lvlText w:val=""/>
      <w:lvlPicBulletId w:val="0"/>
      <w:lvlJc w:val="left"/>
      <w:pPr>
        <w:tabs>
          <w:tab w:val="num" w:pos="4320"/>
        </w:tabs>
        <w:ind w:left="4320" w:hanging="360"/>
      </w:pPr>
      <w:rPr>
        <w:rFonts w:ascii="Symbol" w:hAnsi="Symbol" w:hint="default"/>
      </w:rPr>
    </w:lvl>
    <w:lvl w:ilvl="6" w:tplc="FA1ED3A4" w:tentative="1">
      <w:start w:val="1"/>
      <w:numFmt w:val="bullet"/>
      <w:lvlText w:val=""/>
      <w:lvlPicBulletId w:val="0"/>
      <w:lvlJc w:val="left"/>
      <w:pPr>
        <w:tabs>
          <w:tab w:val="num" w:pos="5040"/>
        </w:tabs>
        <w:ind w:left="5040" w:hanging="360"/>
      </w:pPr>
      <w:rPr>
        <w:rFonts w:ascii="Symbol" w:hAnsi="Symbol" w:hint="default"/>
      </w:rPr>
    </w:lvl>
    <w:lvl w:ilvl="7" w:tplc="C4D82EAE" w:tentative="1">
      <w:start w:val="1"/>
      <w:numFmt w:val="bullet"/>
      <w:lvlText w:val=""/>
      <w:lvlPicBulletId w:val="0"/>
      <w:lvlJc w:val="left"/>
      <w:pPr>
        <w:tabs>
          <w:tab w:val="num" w:pos="5760"/>
        </w:tabs>
        <w:ind w:left="5760" w:hanging="360"/>
      </w:pPr>
      <w:rPr>
        <w:rFonts w:ascii="Symbol" w:hAnsi="Symbol" w:hint="default"/>
      </w:rPr>
    </w:lvl>
    <w:lvl w:ilvl="8" w:tplc="3294CD3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51EB6320"/>
    <w:multiLevelType w:val="hybridMultilevel"/>
    <w:tmpl w:val="18EA2838"/>
    <w:lvl w:ilvl="0" w:tplc="68E0ECC4">
      <w:start w:val="1"/>
      <w:numFmt w:val="bullet"/>
      <w:lvlText w:val=""/>
      <w:lvlPicBulletId w:val="0"/>
      <w:lvlJc w:val="left"/>
      <w:pPr>
        <w:tabs>
          <w:tab w:val="num" w:pos="720"/>
        </w:tabs>
        <w:ind w:left="720" w:hanging="360"/>
      </w:pPr>
      <w:rPr>
        <w:rFonts w:ascii="Symbol" w:hAnsi="Symbol" w:hint="default"/>
      </w:rPr>
    </w:lvl>
    <w:lvl w:ilvl="1" w:tplc="AAC86CA4">
      <w:start w:val="33"/>
      <w:numFmt w:val="bullet"/>
      <w:lvlText w:val="−"/>
      <w:lvlJc w:val="left"/>
      <w:pPr>
        <w:tabs>
          <w:tab w:val="num" w:pos="1440"/>
        </w:tabs>
        <w:ind w:left="1440" w:hanging="360"/>
      </w:pPr>
      <w:rPr>
        <w:rFonts w:ascii="Calibre Regular" w:hAnsi="Calibre Regular" w:hint="default"/>
      </w:rPr>
    </w:lvl>
    <w:lvl w:ilvl="2" w:tplc="65B8CDEA">
      <w:start w:val="33"/>
      <w:numFmt w:val="bullet"/>
      <w:lvlText w:val="−"/>
      <w:lvlJc w:val="left"/>
      <w:pPr>
        <w:tabs>
          <w:tab w:val="num" w:pos="2160"/>
        </w:tabs>
        <w:ind w:left="2160" w:hanging="360"/>
      </w:pPr>
      <w:rPr>
        <w:rFonts w:ascii="Calibre Regular" w:hAnsi="Calibre Regular" w:hint="default"/>
      </w:rPr>
    </w:lvl>
    <w:lvl w:ilvl="3" w:tplc="2E76CB82" w:tentative="1">
      <w:start w:val="1"/>
      <w:numFmt w:val="bullet"/>
      <w:lvlText w:val=""/>
      <w:lvlPicBulletId w:val="0"/>
      <w:lvlJc w:val="left"/>
      <w:pPr>
        <w:tabs>
          <w:tab w:val="num" w:pos="2880"/>
        </w:tabs>
        <w:ind w:left="2880" w:hanging="360"/>
      </w:pPr>
      <w:rPr>
        <w:rFonts w:ascii="Symbol" w:hAnsi="Symbol" w:hint="default"/>
      </w:rPr>
    </w:lvl>
    <w:lvl w:ilvl="4" w:tplc="BA200DFE" w:tentative="1">
      <w:start w:val="1"/>
      <w:numFmt w:val="bullet"/>
      <w:lvlText w:val=""/>
      <w:lvlPicBulletId w:val="0"/>
      <w:lvlJc w:val="left"/>
      <w:pPr>
        <w:tabs>
          <w:tab w:val="num" w:pos="3600"/>
        </w:tabs>
        <w:ind w:left="3600" w:hanging="360"/>
      </w:pPr>
      <w:rPr>
        <w:rFonts w:ascii="Symbol" w:hAnsi="Symbol" w:hint="default"/>
      </w:rPr>
    </w:lvl>
    <w:lvl w:ilvl="5" w:tplc="4AFC2EE6" w:tentative="1">
      <w:start w:val="1"/>
      <w:numFmt w:val="bullet"/>
      <w:lvlText w:val=""/>
      <w:lvlPicBulletId w:val="0"/>
      <w:lvlJc w:val="left"/>
      <w:pPr>
        <w:tabs>
          <w:tab w:val="num" w:pos="4320"/>
        </w:tabs>
        <w:ind w:left="4320" w:hanging="360"/>
      </w:pPr>
      <w:rPr>
        <w:rFonts w:ascii="Symbol" w:hAnsi="Symbol" w:hint="default"/>
      </w:rPr>
    </w:lvl>
    <w:lvl w:ilvl="6" w:tplc="BE5C5B28" w:tentative="1">
      <w:start w:val="1"/>
      <w:numFmt w:val="bullet"/>
      <w:lvlText w:val=""/>
      <w:lvlPicBulletId w:val="0"/>
      <w:lvlJc w:val="left"/>
      <w:pPr>
        <w:tabs>
          <w:tab w:val="num" w:pos="5040"/>
        </w:tabs>
        <w:ind w:left="5040" w:hanging="360"/>
      </w:pPr>
      <w:rPr>
        <w:rFonts w:ascii="Symbol" w:hAnsi="Symbol" w:hint="default"/>
      </w:rPr>
    </w:lvl>
    <w:lvl w:ilvl="7" w:tplc="A3F8FBC4" w:tentative="1">
      <w:start w:val="1"/>
      <w:numFmt w:val="bullet"/>
      <w:lvlText w:val=""/>
      <w:lvlPicBulletId w:val="0"/>
      <w:lvlJc w:val="left"/>
      <w:pPr>
        <w:tabs>
          <w:tab w:val="num" w:pos="5760"/>
        </w:tabs>
        <w:ind w:left="5760" w:hanging="360"/>
      </w:pPr>
      <w:rPr>
        <w:rFonts w:ascii="Symbol" w:hAnsi="Symbol" w:hint="default"/>
      </w:rPr>
    </w:lvl>
    <w:lvl w:ilvl="8" w:tplc="2272F2CA"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5C7E2727"/>
    <w:multiLevelType w:val="hybridMultilevel"/>
    <w:tmpl w:val="9CB698AA"/>
    <w:lvl w:ilvl="0" w:tplc="49221A56">
      <w:start w:val="1"/>
      <w:numFmt w:val="bullet"/>
      <w:lvlText w:val="•"/>
      <w:lvlJc w:val="left"/>
      <w:pPr>
        <w:tabs>
          <w:tab w:val="num" w:pos="648"/>
        </w:tabs>
        <w:ind w:left="648" w:hanging="360"/>
      </w:pPr>
      <w:rPr>
        <w:rFonts w:ascii="Arial" w:hAnsi="Arial" w:hint="default"/>
      </w:rPr>
    </w:lvl>
    <w:lvl w:ilvl="1" w:tplc="DA046C00">
      <w:start w:val="1"/>
      <w:numFmt w:val="bullet"/>
      <w:lvlText w:val="•"/>
      <w:lvlJc w:val="left"/>
      <w:pPr>
        <w:tabs>
          <w:tab w:val="num" w:pos="1368"/>
        </w:tabs>
        <w:ind w:left="1368" w:hanging="360"/>
      </w:pPr>
      <w:rPr>
        <w:rFonts w:ascii="Arial" w:hAnsi="Arial" w:hint="default"/>
      </w:rPr>
    </w:lvl>
    <w:lvl w:ilvl="2" w:tplc="9DDC9282">
      <w:start w:val="1"/>
      <w:numFmt w:val="bullet"/>
      <w:lvlText w:val="•"/>
      <w:lvlJc w:val="left"/>
      <w:pPr>
        <w:tabs>
          <w:tab w:val="num" w:pos="2088"/>
        </w:tabs>
        <w:ind w:left="2088" w:hanging="360"/>
      </w:pPr>
      <w:rPr>
        <w:rFonts w:ascii="Arial" w:hAnsi="Arial" w:hint="default"/>
      </w:rPr>
    </w:lvl>
    <w:lvl w:ilvl="3" w:tplc="086EDB20">
      <w:numFmt w:val="bullet"/>
      <w:lvlText w:val="•"/>
      <w:lvlJc w:val="left"/>
      <w:pPr>
        <w:tabs>
          <w:tab w:val="num" w:pos="2808"/>
        </w:tabs>
        <w:ind w:left="2808" w:hanging="360"/>
      </w:pPr>
      <w:rPr>
        <w:rFonts w:ascii="Arial" w:hAnsi="Arial" w:hint="default"/>
      </w:rPr>
    </w:lvl>
    <w:lvl w:ilvl="4" w:tplc="1AEC2F44">
      <w:numFmt w:val="bullet"/>
      <w:lvlText w:val="•"/>
      <w:lvlJc w:val="left"/>
      <w:pPr>
        <w:tabs>
          <w:tab w:val="num" w:pos="3528"/>
        </w:tabs>
        <w:ind w:left="3528" w:hanging="360"/>
      </w:pPr>
      <w:rPr>
        <w:rFonts w:ascii="Arial" w:hAnsi="Arial" w:hint="default"/>
      </w:rPr>
    </w:lvl>
    <w:lvl w:ilvl="5" w:tplc="B72C9808" w:tentative="1">
      <w:start w:val="1"/>
      <w:numFmt w:val="bullet"/>
      <w:lvlText w:val="•"/>
      <w:lvlJc w:val="left"/>
      <w:pPr>
        <w:tabs>
          <w:tab w:val="num" w:pos="4248"/>
        </w:tabs>
        <w:ind w:left="4248" w:hanging="360"/>
      </w:pPr>
      <w:rPr>
        <w:rFonts w:ascii="Arial" w:hAnsi="Arial" w:hint="default"/>
      </w:rPr>
    </w:lvl>
    <w:lvl w:ilvl="6" w:tplc="1584B6C6" w:tentative="1">
      <w:start w:val="1"/>
      <w:numFmt w:val="bullet"/>
      <w:lvlText w:val="•"/>
      <w:lvlJc w:val="left"/>
      <w:pPr>
        <w:tabs>
          <w:tab w:val="num" w:pos="4968"/>
        </w:tabs>
        <w:ind w:left="4968" w:hanging="360"/>
      </w:pPr>
      <w:rPr>
        <w:rFonts w:ascii="Arial" w:hAnsi="Arial" w:hint="default"/>
      </w:rPr>
    </w:lvl>
    <w:lvl w:ilvl="7" w:tplc="6E320B26" w:tentative="1">
      <w:start w:val="1"/>
      <w:numFmt w:val="bullet"/>
      <w:lvlText w:val="•"/>
      <w:lvlJc w:val="left"/>
      <w:pPr>
        <w:tabs>
          <w:tab w:val="num" w:pos="5688"/>
        </w:tabs>
        <w:ind w:left="5688" w:hanging="360"/>
      </w:pPr>
      <w:rPr>
        <w:rFonts w:ascii="Arial" w:hAnsi="Arial" w:hint="default"/>
      </w:rPr>
    </w:lvl>
    <w:lvl w:ilvl="8" w:tplc="EA9E559C" w:tentative="1">
      <w:start w:val="1"/>
      <w:numFmt w:val="bullet"/>
      <w:lvlText w:val="•"/>
      <w:lvlJc w:val="left"/>
      <w:pPr>
        <w:tabs>
          <w:tab w:val="num" w:pos="6408"/>
        </w:tabs>
        <w:ind w:left="6408" w:hanging="360"/>
      </w:pPr>
      <w:rPr>
        <w:rFonts w:ascii="Arial" w:hAnsi="Arial" w:hint="default"/>
      </w:rPr>
    </w:lvl>
  </w:abstractNum>
  <w:abstractNum w:abstractNumId="15"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8B3E68"/>
    <w:multiLevelType w:val="hybridMultilevel"/>
    <w:tmpl w:val="47A026A2"/>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10"/>
  </w:num>
  <w:num w:numId="5">
    <w:abstractNumId w:val="5"/>
  </w:num>
  <w:num w:numId="6">
    <w:abstractNumId w:val="8"/>
  </w:num>
  <w:num w:numId="7">
    <w:abstractNumId w:val="3"/>
  </w:num>
  <w:num w:numId="8">
    <w:abstractNumId w:val="16"/>
  </w:num>
  <w:num w:numId="9">
    <w:abstractNumId w:val="2"/>
  </w:num>
  <w:num w:numId="10">
    <w:abstractNumId w:val="12"/>
  </w:num>
  <w:num w:numId="11">
    <w:abstractNumId w:val="11"/>
  </w:num>
  <w:num w:numId="12">
    <w:abstractNumId w:val="9"/>
  </w:num>
  <w:num w:numId="13">
    <w:abstractNumId w:val="13"/>
  </w:num>
  <w:num w:numId="14">
    <w:abstractNumId w:val="15"/>
  </w:num>
  <w:num w:numId="15">
    <w:abstractNumId w:val="14"/>
  </w:num>
  <w:num w:numId="16">
    <w:abstractNumId w:val="7"/>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11A"/>
    <w:rsid w:val="000003F7"/>
    <w:rsid w:val="000004CA"/>
    <w:rsid w:val="00000515"/>
    <w:rsid w:val="00000ECA"/>
    <w:rsid w:val="00000F7F"/>
    <w:rsid w:val="00001375"/>
    <w:rsid w:val="00001F79"/>
    <w:rsid w:val="00001FC3"/>
    <w:rsid w:val="000022AF"/>
    <w:rsid w:val="00002375"/>
    <w:rsid w:val="0000270A"/>
    <w:rsid w:val="00002A8E"/>
    <w:rsid w:val="00002D2A"/>
    <w:rsid w:val="00003131"/>
    <w:rsid w:val="00003227"/>
    <w:rsid w:val="000037FB"/>
    <w:rsid w:val="000039B1"/>
    <w:rsid w:val="00003EF4"/>
    <w:rsid w:val="0000403F"/>
    <w:rsid w:val="00004885"/>
    <w:rsid w:val="00004D8C"/>
    <w:rsid w:val="00004DCB"/>
    <w:rsid w:val="000051F0"/>
    <w:rsid w:val="0000545A"/>
    <w:rsid w:val="0000553B"/>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3F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5D2B"/>
    <w:rsid w:val="00076408"/>
    <w:rsid w:val="0007661E"/>
    <w:rsid w:val="00077073"/>
    <w:rsid w:val="0007796D"/>
    <w:rsid w:val="0008022A"/>
    <w:rsid w:val="00080418"/>
    <w:rsid w:val="000805B2"/>
    <w:rsid w:val="00080D74"/>
    <w:rsid w:val="00081383"/>
    <w:rsid w:val="000822AD"/>
    <w:rsid w:val="000822C0"/>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9B4"/>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B9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4DB3"/>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2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16B0"/>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ACD"/>
    <w:rsid w:val="00205CB2"/>
    <w:rsid w:val="00205D98"/>
    <w:rsid w:val="0020610B"/>
    <w:rsid w:val="002063A7"/>
    <w:rsid w:val="00206428"/>
    <w:rsid w:val="0020671A"/>
    <w:rsid w:val="0020674D"/>
    <w:rsid w:val="00206BF6"/>
    <w:rsid w:val="00206E5A"/>
    <w:rsid w:val="00207613"/>
    <w:rsid w:val="00207847"/>
    <w:rsid w:val="00207AF9"/>
    <w:rsid w:val="00207BB9"/>
    <w:rsid w:val="00207E3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2EC"/>
    <w:rsid w:val="002373FC"/>
    <w:rsid w:val="00237C6F"/>
    <w:rsid w:val="00237D22"/>
    <w:rsid w:val="0024029F"/>
    <w:rsid w:val="00240487"/>
    <w:rsid w:val="002407E1"/>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50E"/>
    <w:rsid w:val="002530D6"/>
    <w:rsid w:val="002530D9"/>
    <w:rsid w:val="0025325D"/>
    <w:rsid w:val="002533FF"/>
    <w:rsid w:val="00253400"/>
    <w:rsid w:val="002537F5"/>
    <w:rsid w:val="00253905"/>
    <w:rsid w:val="0025429A"/>
    <w:rsid w:val="00255AC6"/>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8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088"/>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868"/>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BD"/>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6D1"/>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FD7"/>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F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2E73"/>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C5F"/>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3DB"/>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5A9"/>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656"/>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4C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619"/>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001"/>
    <w:rsid w:val="005C1225"/>
    <w:rsid w:val="005C132F"/>
    <w:rsid w:val="005C1752"/>
    <w:rsid w:val="005C1BF2"/>
    <w:rsid w:val="005C2144"/>
    <w:rsid w:val="005C247C"/>
    <w:rsid w:val="005C2D32"/>
    <w:rsid w:val="005C3022"/>
    <w:rsid w:val="005C376D"/>
    <w:rsid w:val="005C3DB7"/>
    <w:rsid w:val="005C4254"/>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5F"/>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3C1C"/>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B89"/>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6E0"/>
    <w:rsid w:val="006B6AD0"/>
    <w:rsid w:val="006B6BA3"/>
    <w:rsid w:val="006B6C83"/>
    <w:rsid w:val="006B6C95"/>
    <w:rsid w:val="006B725C"/>
    <w:rsid w:val="006B7864"/>
    <w:rsid w:val="006C03B2"/>
    <w:rsid w:val="006C09DD"/>
    <w:rsid w:val="006C0B08"/>
    <w:rsid w:val="006C1142"/>
    <w:rsid w:val="006C1A29"/>
    <w:rsid w:val="006C1B3F"/>
    <w:rsid w:val="006C1F77"/>
    <w:rsid w:val="006C2299"/>
    <w:rsid w:val="006C22BD"/>
    <w:rsid w:val="006C2604"/>
    <w:rsid w:val="006C3309"/>
    <w:rsid w:val="006C375B"/>
    <w:rsid w:val="006C3FF3"/>
    <w:rsid w:val="006C40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6C22"/>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8D9"/>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0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620"/>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9D"/>
    <w:rsid w:val="00784FC7"/>
    <w:rsid w:val="007859E1"/>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6DB"/>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31"/>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7A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6B"/>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C1B"/>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14"/>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471"/>
    <w:rsid w:val="008D2CFC"/>
    <w:rsid w:val="008D2DE5"/>
    <w:rsid w:val="008D3208"/>
    <w:rsid w:val="008D399A"/>
    <w:rsid w:val="008D4318"/>
    <w:rsid w:val="008D453F"/>
    <w:rsid w:val="008D508F"/>
    <w:rsid w:val="008D538D"/>
    <w:rsid w:val="008D544C"/>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6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C6B"/>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38E"/>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732"/>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02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54A"/>
    <w:rsid w:val="009B4821"/>
    <w:rsid w:val="009B4C1C"/>
    <w:rsid w:val="009B4C24"/>
    <w:rsid w:val="009B5821"/>
    <w:rsid w:val="009B70E9"/>
    <w:rsid w:val="009B7564"/>
    <w:rsid w:val="009B7BB7"/>
    <w:rsid w:val="009B7CB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59"/>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2BA3"/>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78"/>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B2"/>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3FE"/>
    <w:rsid w:val="00A764B9"/>
    <w:rsid w:val="00A76696"/>
    <w:rsid w:val="00A76A52"/>
    <w:rsid w:val="00A76BF2"/>
    <w:rsid w:val="00A7707F"/>
    <w:rsid w:val="00A770A5"/>
    <w:rsid w:val="00A7735F"/>
    <w:rsid w:val="00A77715"/>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5ED"/>
    <w:rsid w:val="00AD163D"/>
    <w:rsid w:val="00AD16A0"/>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42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F8"/>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A8F"/>
    <w:rsid w:val="00B01CC2"/>
    <w:rsid w:val="00B01F0D"/>
    <w:rsid w:val="00B02014"/>
    <w:rsid w:val="00B0226D"/>
    <w:rsid w:val="00B023FC"/>
    <w:rsid w:val="00B02A4C"/>
    <w:rsid w:val="00B02AD0"/>
    <w:rsid w:val="00B030F4"/>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B14"/>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800"/>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5F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70F"/>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6E4"/>
    <w:rsid w:val="00C225CC"/>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BCF"/>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48"/>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4D6C"/>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8B9"/>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B89"/>
    <w:rsid w:val="00D86EF6"/>
    <w:rsid w:val="00D87154"/>
    <w:rsid w:val="00D8778A"/>
    <w:rsid w:val="00D87F1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1F1"/>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2F5"/>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6D"/>
    <w:rsid w:val="00DF5270"/>
    <w:rsid w:val="00DF5588"/>
    <w:rsid w:val="00DF5B4C"/>
    <w:rsid w:val="00DF5C89"/>
    <w:rsid w:val="00DF6014"/>
    <w:rsid w:val="00DF6281"/>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099"/>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5C6"/>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4EFD"/>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5F"/>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37B"/>
    <w:rsid w:val="00EC555C"/>
    <w:rsid w:val="00EC60A1"/>
    <w:rsid w:val="00EC60F7"/>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12"/>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74D"/>
    <w:rsid w:val="00F06F02"/>
    <w:rsid w:val="00F10437"/>
    <w:rsid w:val="00F10465"/>
    <w:rsid w:val="00F10864"/>
    <w:rsid w:val="00F11196"/>
    <w:rsid w:val="00F1165E"/>
    <w:rsid w:val="00F11CF5"/>
    <w:rsid w:val="00F12B3D"/>
    <w:rsid w:val="00F13242"/>
    <w:rsid w:val="00F1403E"/>
    <w:rsid w:val="00F140FE"/>
    <w:rsid w:val="00F1415B"/>
    <w:rsid w:val="00F1418D"/>
    <w:rsid w:val="00F14FB4"/>
    <w:rsid w:val="00F15478"/>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0EE"/>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03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04"/>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963"/>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5951655">
      <w:bodyDiv w:val="1"/>
      <w:marLeft w:val="0"/>
      <w:marRight w:val="0"/>
      <w:marTop w:val="0"/>
      <w:marBottom w:val="0"/>
      <w:divBdr>
        <w:top w:val="none" w:sz="0" w:space="0" w:color="auto"/>
        <w:left w:val="none" w:sz="0" w:space="0" w:color="auto"/>
        <w:bottom w:val="none" w:sz="0" w:space="0" w:color="auto"/>
        <w:right w:val="none" w:sz="0" w:space="0" w:color="auto"/>
      </w:divBdr>
      <w:divsChild>
        <w:div w:id="795370718">
          <w:marLeft w:val="547"/>
          <w:marRight w:val="0"/>
          <w:marTop w:val="106"/>
          <w:marBottom w:val="0"/>
          <w:divBdr>
            <w:top w:val="none" w:sz="0" w:space="0" w:color="auto"/>
            <w:left w:val="none" w:sz="0" w:space="0" w:color="auto"/>
            <w:bottom w:val="none" w:sz="0" w:space="0" w:color="auto"/>
            <w:right w:val="none" w:sz="0" w:space="0" w:color="auto"/>
          </w:divBdr>
        </w:div>
        <w:div w:id="1236552026">
          <w:marLeft w:val="1166"/>
          <w:marRight w:val="0"/>
          <w:marTop w:val="91"/>
          <w:marBottom w:val="0"/>
          <w:divBdr>
            <w:top w:val="none" w:sz="0" w:space="0" w:color="auto"/>
            <w:left w:val="none" w:sz="0" w:space="0" w:color="auto"/>
            <w:bottom w:val="none" w:sz="0" w:space="0" w:color="auto"/>
            <w:right w:val="none" w:sz="0" w:space="0" w:color="auto"/>
          </w:divBdr>
        </w:div>
        <w:div w:id="870727342">
          <w:marLeft w:val="1627"/>
          <w:marRight w:val="0"/>
          <w:marTop w:val="82"/>
          <w:marBottom w:val="0"/>
          <w:divBdr>
            <w:top w:val="none" w:sz="0" w:space="0" w:color="auto"/>
            <w:left w:val="none" w:sz="0" w:space="0" w:color="auto"/>
            <w:bottom w:val="none" w:sz="0" w:space="0" w:color="auto"/>
            <w:right w:val="none" w:sz="0" w:space="0" w:color="auto"/>
          </w:divBdr>
        </w:div>
        <w:div w:id="1849907349">
          <w:marLeft w:val="1166"/>
          <w:marRight w:val="0"/>
          <w:marTop w:val="91"/>
          <w:marBottom w:val="0"/>
          <w:divBdr>
            <w:top w:val="none" w:sz="0" w:space="0" w:color="auto"/>
            <w:left w:val="none" w:sz="0" w:space="0" w:color="auto"/>
            <w:bottom w:val="none" w:sz="0" w:space="0" w:color="auto"/>
            <w:right w:val="none" w:sz="0" w:space="0" w:color="auto"/>
          </w:divBdr>
        </w:div>
        <w:div w:id="486436806">
          <w:marLeft w:val="1627"/>
          <w:marRight w:val="0"/>
          <w:marTop w:val="82"/>
          <w:marBottom w:val="0"/>
          <w:divBdr>
            <w:top w:val="none" w:sz="0" w:space="0" w:color="auto"/>
            <w:left w:val="none" w:sz="0" w:space="0" w:color="auto"/>
            <w:bottom w:val="none" w:sz="0" w:space="0" w:color="auto"/>
            <w:right w:val="none" w:sz="0" w:space="0" w:color="auto"/>
          </w:divBdr>
        </w:div>
        <w:div w:id="128862476">
          <w:marLeft w:val="547"/>
          <w:marRight w:val="0"/>
          <w:marTop w:val="106"/>
          <w:marBottom w:val="0"/>
          <w:divBdr>
            <w:top w:val="none" w:sz="0" w:space="0" w:color="auto"/>
            <w:left w:val="none" w:sz="0" w:space="0" w:color="auto"/>
            <w:bottom w:val="none" w:sz="0" w:space="0" w:color="auto"/>
            <w:right w:val="none" w:sz="0" w:space="0" w:color="auto"/>
          </w:divBdr>
        </w:div>
        <w:div w:id="703480775">
          <w:marLeft w:val="1166"/>
          <w:marRight w:val="0"/>
          <w:marTop w:val="91"/>
          <w:marBottom w:val="0"/>
          <w:divBdr>
            <w:top w:val="none" w:sz="0" w:space="0" w:color="auto"/>
            <w:left w:val="none" w:sz="0" w:space="0" w:color="auto"/>
            <w:bottom w:val="none" w:sz="0" w:space="0" w:color="auto"/>
            <w:right w:val="none" w:sz="0" w:space="0" w:color="auto"/>
          </w:divBdr>
        </w:div>
        <w:div w:id="1965769118">
          <w:marLeft w:val="1627"/>
          <w:marRight w:val="0"/>
          <w:marTop w:val="82"/>
          <w:marBottom w:val="0"/>
          <w:divBdr>
            <w:top w:val="none" w:sz="0" w:space="0" w:color="auto"/>
            <w:left w:val="none" w:sz="0" w:space="0" w:color="auto"/>
            <w:bottom w:val="none" w:sz="0" w:space="0" w:color="auto"/>
            <w:right w:val="none" w:sz="0" w:space="0" w:color="auto"/>
          </w:divBdr>
        </w:div>
        <w:div w:id="1835536227">
          <w:marLeft w:val="2074"/>
          <w:marRight w:val="0"/>
          <w:marTop w:val="72"/>
          <w:marBottom w:val="0"/>
          <w:divBdr>
            <w:top w:val="none" w:sz="0" w:space="0" w:color="auto"/>
            <w:left w:val="none" w:sz="0" w:space="0" w:color="auto"/>
            <w:bottom w:val="none" w:sz="0" w:space="0" w:color="auto"/>
            <w:right w:val="none" w:sz="0" w:space="0" w:color="auto"/>
          </w:divBdr>
        </w:div>
        <w:div w:id="1587105516">
          <w:marLeft w:val="1166"/>
          <w:marRight w:val="0"/>
          <w:marTop w:val="91"/>
          <w:marBottom w:val="0"/>
          <w:divBdr>
            <w:top w:val="none" w:sz="0" w:space="0" w:color="auto"/>
            <w:left w:val="none" w:sz="0" w:space="0" w:color="auto"/>
            <w:bottom w:val="none" w:sz="0" w:space="0" w:color="auto"/>
            <w:right w:val="none" w:sz="0" w:space="0" w:color="auto"/>
          </w:divBdr>
        </w:div>
        <w:div w:id="839387028">
          <w:marLeft w:val="1627"/>
          <w:marRight w:val="0"/>
          <w:marTop w:val="82"/>
          <w:marBottom w:val="0"/>
          <w:divBdr>
            <w:top w:val="none" w:sz="0" w:space="0" w:color="auto"/>
            <w:left w:val="none" w:sz="0" w:space="0" w:color="auto"/>
            <w:bottom w:val="none" w:sz="0" w:space="0" w:color="auto"/>
            <w:right w:val="none" w:sz="0" w:space="0" w:color="auto"/>
          </w:divBdr>
        </w:div>
        <w:div w:id="2000422487">
          <w:marLeft w:val="2074"/>
          <w:marRight w:val="0"/>
          <w:marTop w:val="72"/>
          <w:marBottom w:val="0"/>
          <w:divBdr>
            <w:top w:val="none" w:sz="0" w:space="0" w:color="auto"/>
            <w:left w:val="none" w:sz="0" w:space="0" w:color="auto"/>
            <w:bottom w:val="none" w:sz="0" w:space="0" w:color="auto"/>
            <w:right w:val="none" w:sz="0" w:space="0" w:color="auto"/>
          </w:divBdr>
        </w:div>
        <w:div w:id="1152718380">
          <w:marLeft w:val="547"/>
          <w:marRight w:val="0"/>
          <w:marTop w:val="106"/>
          <w:marBottom w:val="0"/>
          <w:divBdr>
            <w:top w:val="none" w:sz="0" w:space="0" w:color="auto"/>
            <w:left w:val="none" w:sz="0" w:space="0" w:color="auto"/>
            <w:bottom w:val="none" w:sz="0" w:space="0" w:color="auto"/>
            <w:right w:val="none" w:sz="0" w:space="0" w:color="auto"/>
          </w:divBdr>
        </w:div>
        <w:div w:id="1757168931">
          <w:marLeft w:val="1166"/>
          <w:marRight w:val="0"/>
          <w:marTop w:val="91"/>
          <w:marBottom w:val="0"/>
          <w:divBdr>
            <w:top w:val="none" w:sz="0" w:space="0" w:color="auto"/>
            <w:left w:val="none" w:sz="0" w:space="0" w:color="auto"/>
            <w:bottom w:val="none" w:sz="0" w:space="0" w:color="auto"/>
            <w:right w:val="none" w:sz="0" w:space="0" w:color="auto"/>
          </w:divBdr>
        </w:div>
        <w:div w:id="1753312457">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175518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475747">
      <w:bodyDiv w:val="1"/>
      <w:marLeft w:val="0"/>
      <w:marRight w:val="0"/>
      <w:marTop w:val="0"/>
      <w:marBottom w:val="0"/>
      <w:divBdr>
        <w:top w:val="none" w:sz="0" w:space="0" w:color="auto"/>
        <w:left w:val="none" w:sz="0" w:space="0" w:color="auto"/>
        <w:bottom w:val="none" w:sz="0" w:space="0" w:color="auto"/>
        <w:right w:val="none" w:sz="0" w:space="0" w:color="auto"/>
      </w:divBdr>
      <w:divsChild>
        <w:div w:id="457339612">
          <w:marLeft w:val="547"/>
          <w:marRight w:val="0"/>
          <w:marTop w:val="115"/>
          <w:marBottom w:val="0"/>
          <w:divBdr>
            <w:top w:val="none" w:sz="0" w:space="0" w:color="auto"/>
            <w:left w:val="none" w:sz="0" w:space="0" w:color="auto"/>
            <w:bottom w:val="none" w:sz="0" w:space="0" w:color="auto"/>
            <w:right w:val="none" w:sz="0" w:space="0" w:color="auto"/>
          </w:divBdr>
        </w:div>
        <w:div w:id="604775248">
          <w:marLeft w:val="1627"/>
          <w:marRight w:val="0"/>
          <w:marTop w:val="86"/>
          <w:marBottom w:val="0"/>
          <w:divBdr>
            <w:top w:val="none" w:sz="0" w:space="0" w:color="auto"/>
            <w:left w:val="none" w:sz="0" w:space="0" w:color="auto"/>
            <w:bottom w:val="none" w:sz="0" w:space="0" w:color="auto"/>
            <w:right w:val="none" w:sz="0" w:space="0" w:color="auto"/>
          </w:divBdr>
        </w:div>
        <w:div w:id="1644774438">
          <w:marLeft w:val="547"/>
          <w:marRight w:val="0"/>
          <w:marTop w:val="115"/>
          <w:marBottom w:val="0"/>
          <w:divBdr>
            <w:top w:val="none" w:sz="0" w:space="0" w:color="auto"/>
            <w:left w:val="none" w:sz="0" w:space="0" w:color="auto"/>
            <w:bottom w:val="none" w:sz="0" w:space="0" w:color="auto"/>
            <w:right w:val="none" w:sz="0" w:space="0" w:color="auto"/>
          </w:divBdr>
        </w:div>
        <w:div w:id="216403813">
          <w:marLeft w:val="1627"/>
          <w:marRight w:val="0"/>
          <w:marTop w:val="86"/>
          <w:marBottom w:val="0"/>
          <w:divBdr>
            <w:top w:val="none" w:sz="0" w:space="0" w:color="auto"/>
            <w:left w:val="none" w:sz="0" w:space="0" w:color="auto"/>
            <w:bottom w:val="none" w:sz="0" w:space="0" w:color="auto"/>
            <w:right w:val="none" w:sz="0" w:space="0" w:color="auto"/>
          </w:divBdr>
        </w:div>
        <w:div w:id="219748364">
          <w:marLeft w:val="1627"/>
          <w:marRight w:val="0"/>
          <w:marTop w:val="86"/>
          <w:marBottom w:val="0"/>
          <w:divBdr>
            <w:top w:val="none" w:sz="0" w:space="0" w:color="auto"/>
            <w:left w:val="none" w:sz="0" w:space="0" w:color="auto"/>
            <w:bottom w:val="none" w:sz="0" w:space="0" w:color="auto"/>
            <w:right w:val="none" w:sz="0" w:space="0" w:color="auto"/>
          </w:divBdr>
        </w:div>
        <w:div w:id="1035303862">
          <w:marLeft w:val="2074"/>
          <w:marRight w:val="0"/>
          <w:marTop w:val="77"/>
          <w:marBottom w:val="0"/>
          <w:divBdr>
            <w:top w:val="none" w:sz="0" w:space="0" w:color="auto"/>
            <w:left w:val="none" w:sz="0" w:space="0" w:color="auto"/>
            <w:bottom w:val="none" w:sz="0" w:space="0" w:color="auto"/>
            <w:right w:val="none" w:sz="0" w:space="0" w:color="auto"/>
          </w:divBdr>
        </w:div>
        <w:div w:id="544374354">
          <w:marLeft w:val="2520"/>
          <w:marRight w:val="0"/>
          <w:marTop w:val="67"/>
          <w:marBottom w:val="0"/>
          <w:divBdr>
            <w:top w:val="none" w:sz="0" w:space="0" w:color="auto"/>
            <w:left w:val="none" w:sz="0" w:space="0" w:color="auto"/>
            <w:bottom w:val="none" w:sz="0" w:space="0" w:color="auto"/>
            <w:right w:val="none" w:sz="0" w:space="0" w:color="auto"/>
          </w:divBdr>
        </w:div>
        <w:div w:id="1839421442">
          <w:marLeft w:val="2074"/>
          <w:marRight w:val="0"/>
          <w:marTop w:val="77"/>
          <w:marBottom w:val="0"/>
          <w:divBdr>
            <w:top w:val="none" w:sz="0" w:space="0" w:color="auto"/>
            <w:left w:val="none" w:sz="0" w:space="0" w:color="auto"/>
            <w:bottom w:val="none" w:sz="0" w:space="0" w:color="auto"/>
            <w:right w:val="none" w:sz="0" w:space="0" w:color="auto"/>
          </w:divBdr>
        </w:div>
        <w:div w:id="1154104611">
          <w:marLeft w:val="2520"/>
          <w:marRight w:val="0"/>
          <w:marTop w:val="67"/>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HR33RHYHUWRF-4-5729</_dlc_DocId>
    <_dlc_DocIdUrl xmlns="c06861ca-3f08-4d07-bff7-bb15bac121f4">
      <Url>https://projects.qualcomm.com/sites/pentari/_layouts/15/DocIdRedir.aspx?ID=HR33RHYHUWRF-4-5729</Url>
      <Description>HR33RHYHUWRF-4-5729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2003E788-4F25-43B4-8DDF-849287337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Resource reuse for data in DL control region</vt:lpstr>
    </vt:vector>
  </TitlesOfParts>
  <Company>Qualcomm Inc.</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reuse for data in DL control region</dc:title>
  <dc:subject/>
  <dc:creator>Qualcomm Inc.</dc:creator>
  <cp:keywords/>
  <cp:lastModifiedBy>Heechoon Lee</cp:lastModifiedBy>
  <cp:revision>3</cp:revision>
  <cp:lastPrinted>2014-11-07T05:38:00Z</cp:lastPrinted>
  <dcterms:created xsi:type="dcterms:W3CDTF">2017-09-12T05:01:00Z</dcterms:created>
  <dcterms:modified xsi:type="dcterms:W3CDTF">2017-09-12T05:34:00Z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b2986c70-f974-4013-8a3d-6af6b60f628b</vt:lpwstr>
  </property>
  <property fmtid="{D5CDD505-2E9C-101B-9397-08002B2CF9AE}" pid="10" name="_ReviewingToolsShownOnce">
    <vt:lpwstr/>
  </property>
</Properties>
</file>